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85BFB" w14:textId="3CAC0C6F" w:rsidR="00353876" w:rsidRPr="00353876" w:rsidRDefault="00353876" w:rsidP="00713D33">
      <w:pPr>
        <w:spacing w:after="1200" w:line="240" w:lineRule="auto"/>
        <w:ind w:right="57"/>
        <w:jc w:val="center"/>
        <w:rPr>
          <w:sz w:val="24"/>
          <w:szCs w:val="32"/>
        </w:rPr>
      </w:pPr>
    </w:p>
    <w:p w14:paraId="41B40B5B" w14:textId="77777777" w:rsidR="00353876" w:rsidRDefault="00353876" w:rsidP="001028CD">
      <w:pPr>
        <w:spacing w:line="240" w:lineRule="auto"/>
        <w:ind w:right="56"/>
        <w:jc w:val="center"/>
        <w:rPr>
          <w:b/>
          <w:sz w:val="44"/>
          <w:szCs w:val="32"/>
        </w:rPr>
      </w:pPr>
    </w:p>
    <w:p w14:paraId="70F12B22" w14:textId="328BB446" w:rsidR="003A2B40" w:rsidRPr="00501A45" w:rsidRDefault="0025168F" w:rsidP="0025168F">
      <w:pPr>
        <w:spacing w:after="960" w:line="240" w:lineRule="auto"/>
        <w:ind w:right="57"/>
        <w:jc w:val="center"/>
        <w:rPr>
          <w:rFonts w:ascii="72 Condensed" w:hAnsi="72 Condensed" w:cs="72 Condensed"/>
          <w:b/>
          <w:color w:val="50748A"/>
          <w:sz w:val="72"/>
          <w:szCs w:val="96"/>
        </w:rPr>
      </w:pPr>
      <w:r>
        <w:rPr>
          <w:noProof/>
        </w:rPr>
        <w:drawing>
          <wp:inline distT="0" distB="0" distL="0" distR="0" wp14:anchorId="0304C6BA" wp14:editId="580B4770">
            <wp:extent cx="3617844" cy="1302848"/>
            <wp:effectExtent l="0" t="0" r="1905" b="0"/>
            <wp:docPr id="1" name="Picture 1" descr="Image: Respect a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7844" cy="1302848"/>
                    </a:xfrm>
                    <a:prstGeom prst="rect">
                      <a:avLst/>
                    </a:prstGeom>
                    <a:noFill/>
                    <a:ln>
                      <a:noFill/>
                    </a:ln>
                  </pic:spPr>
                </pic:pic>
              </a:graphicData>
            </a:graphic>
          </wp:inline>
        </w:drawing>
      </w:r>
      <w:r w:rsidR="00433344" w:rsidRPr="00501A45">
        <w:rPr>
          <w:rFonts w:ascii="72 Condensed" w:hAnsi="72 Condensed" w:cs="72 Condensed"/>
          <w:b/>
          <w:color w:val="50748A"/>
          <w:sz w:val="72"/>
          <w:szCs w:val="96"/>
        </w:rPr>
        <w:t xml:space="preserve"> </w:t>
      </w:r>
    </w:p>
    <w:p w14:paraId="549979CC" w14:textId="77777777" w:rsidR="00713D33" w:rsidRDefault="003F0EA3" w:rsidP="00713D33">
      <w:pPr>
        <w:pStyle w:val="Title"/>
        <w:jc w:val="center"/>
        <w:rPr>
          <w:rFonts w:ascii="72 Condensed" w:hAnsi="72 Condensed" w:cs="72 Condensed"/>
          <w:sz w:val="36"/>
        </w:rPr>
      </w:pPr>
      <w:r w:rsidRPr="00433344">
        <w:rPr>
          <w:rFonts w:ascii="72 Condensed" w:hAnsi="72 Condensed" w:cs="72 Condensed"/>
          <w:color w:val="50748A"/>
        </w:rPr>
        <w:t xml:space="preserve">Guidelines on the </w:t>
      </w:r>
      <w:r w:rsidR="00135FEB" w:rsidRPr="00433344">
        <w:rPr>
          <w:rFonts w:ascii="72 Condensed" w:hAnsi="72 Condensed" w:cs="72 Condensed"/>
          <w:color w:val="50748A"/>
        </w:rPr>
        <w:t>U</w:t>
      </w:r>
      <w:r w:rsidRPr="00433344">
        <w:rPr>
          <w:rFonts w:ascii="72 Condensed" w:hAnsi="72 Condensed" w:cs="72 Condensed"/>
          <w:color w:val="50748A"/>
        </w:rPr>
        <w:t xml:space="preserve">se of </w:t>
      </w:r>
      <w:r w:rsidR="00135FEB" w:rsidRPr="00433344">
        <w:rPr>
          <w:rFonts w:ascii="72 Condensed" w:hAnsi="72 Condensed" w:cs="72 Condensed"/>
          <w:color w:val="50748A"/>
        </w:rPr>
        <w:t>C</w:t>
      </w:r>
      <w:r w:rsidRPr="00433344">
        <w:rPr>
          <w:rFonts w:ascii="72 Condensed" w:hAnsi="72 Condensed" w:cs="72 Condensed"/>
          <w:color w:val="50748A"/>
        </w:rPr>
        <w:t xml:space="preserve">onfidentiality </w:t>
      </w:r>
      <w:r w:rsidR="00135FEB" w:rsidRPr="00433344">
        <w:rPr>
          <w:rFonts w:ascii="72 Condensed" w:hAnsi="72 Condensed" w:cs="72 Condensed"/>
          <w:color w:val="50748A"/>
        </w:rPr>
        <w:t>C</w:t>
      </w:r>
      <w:r w:rsidRPr="00433344">
        <w:rPr>
          <w:rFonts w:ascii="72 Condensed" w:hAnsi="72 Condensed" w:cs="72 Condensed"/>
          <w:color w:val="50748A"/>
        </w:rPr>
        <w:t xml:space="preserve">lauses in the </w:t>
      </w:r>
      <w:r w:rsidR="00135FEB" w:rsidRPr="00433344">
        <w:rPr>
          <w:rFonts w:ascii="72 Condensed" w:hAnsi="72 Condensed" w:cs="72 Condensed"/>
          <w:color w:val="50748A"/>
        </w:rPr>
        <w:t>R</w:t>
      </w:r>
      <w:r w:rsidRPr="00433344">
        <w:rPr>
          <w:rFonts w:ascii="72 Condensed" w:hAnsi="72 Condensed" w:cs="72 Condensed"/>
          <w:color w:val="50748A"/>
        </w:rPr>
        <w:t xml:space="preserve">esolution of </w:t>
      </w:r>
      <w:r w:rsidR="00135FEB" w:rsidRPr="00433344">
        <w:rPr>
          <w:rFonts w:ascii="72 Condensed" w:hAnsi="72 Condensed" w:cs="72 Condensed"/>
          <w:color w:val="50748A"/>
        </w:rPr>
        <w:t>W</w:t>
      </w:r>
      <w:r w:rsidR="00C3107E" w:rsidRPr="00433344">
        <w:rPr>
          <w:rFonts w:ascii="72 Condensed" w:hAnsi="72 Condensed" w:cs="72 Condensed"/>
          <w:color w:val="50748A"/>
        </w:rPr>
        <w:t xml:space="preserve">orkplace </w:t>
      </w:r>
      <w:r w:rsidR="00135FEB" w:rsidRPr="00433344">
        <w:rPr>
          <w:rFonts w:ascii="72 Condensed" w:hAnsi="72 Condensed" w:cs="72 Condensed"/>
          <w:color w:val="50748A"/>
        </w:rPr>
        <w:t>S</w:t>
      </w:r>
      <w:r w:rsidRPr="00433344">
        <w:rPr>
          <w:rFonts w:ascii="72 Condensed" w:hAnsi="72 Condensed" w:cs="72 Condensed"/>
          <w:color w:val="50748A"/>
        </w:rPr>
        <w:t xml:space="preserve">exual </w:t>
      </w:r>
      <w:r w:rsidR="00135FEB" w:rsidRPr="00433344">
        <w:rPr>
          <w:rFonts w:ascii="72 Condensed" w:hAnsi="72 Condensed" w:cs="72 Condensed"/>
          <w:color w:val="50748A"/>
        </w:rPr>
        <w:t>Ha</w:t>
      </w:r>
      <w:r w:rsidRPr="00433344">
        <w:rPr>
          <w:rFonts w:ascii="72 Condensed" w:hAnsi="72 Condensed" w:cs="72 Condensed"/>
          <w:color w:val="50748A"/>
        </w:rPr>
        <w:t xml:space="preserve">rassment </w:t>
      </w:r>
      <w:r w:rsidR="00135FEB" w:rsidRPr="00433344">
        <w:rPr>
          <w:rFonts w:ascii="72 Condensed" w:hAnsi="72 Condensed" w:cs="72 Condensed"/>
          <w:color w:val="50748A"/>
        </w:rPr>
        <w:t>C</w:t>
      </w:r>
      <w:r w:rsidR="0009574B" w:rsidRPr="00433344">
        <w:rPr>
          <w:rFonts w:ascii="72 Condensed" w:hAnsi="72 Condensed" w:cs="72 Condensed"/>
          <w:color w:val="50748A"/>
        </w:rPr>
        <w:t>omplaints</w:t>
      </w:r>
    </w:p>
    <w:p w14:paraId="3829E535" w14:textId="77777777" w:rsidR="00713D33" w:rsidRDefault="00BE2052" w:rsidP="00713D33">
      <w:pPr>
        <w:pStyle w:val="Title"/>
        <w:jc w:val="center"/>
        <w:rPr>
          <w:rFonts w:ascii="72 Condensed" w:hAnsi="72 Condensed" w:cs="72 Condensed"/>
        </w:rPr>
      </w:pPr>
      <w:r w:rsidRPr="00433344">
        <w:rPr>
          <w:rFonts w:ascii="72 Condensed" w:hAnsi="72 Condensed" w:cs="72 Condensed"/>
        </w:rPr>
        <w:t>2022</w:t>
      </w:r>
    </w:p>
    <w:p w14:paraId="67715083" w14:textId="77777777" w:rsidR="00713D33" w:rsidRDefault="00713D33" w:rsidP="00713D33">
      <w:pPr>
        <w:pStyle w:val="Title"/>
        <w:jc w:val="center"/>
        <w:rPr>
          <w:bCs/>
          <w:sz w:val="44"/>
          <w:szCs w:val="60"/>
        </w:rPr>
      </w:pPr>
    </w:p>
    <w:p w14:paraId="5C279F1C" w14:textId="29EBEE5F" w:rsidR="00713D33" w:rsidRDefault="00713D33" w:rsidP="00713D33">
      <w:pPr>
        <w:pStyle w:val="Title"/>
        <w:jc w:val="center"/>
        <w:rPr>
          <w:bCs/>
          <w:sz w:val="44"/>
          <w:szCs w:val="60"/>
        </w:rPr>
      </w:pPr>
      <w:r>
        <w:rPr>
          <w:noProof/>
        </w:rPr>
        <w:drawing>
          <wp:inline distT="0" distB="0" distL="0" distR="0" wp14:anchorId="5B2486F4" wp14:editId="62195259">
            <wp:extent cx="2411510" cy="1706532"/>
            <wp:effectExtent l="0" t="0" r="8255" b="8255"/>
            <wp:docPr id="10" name="Picture 10" descr="Image: 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7292" cy="1717700"/>
                    </a:xfrm>
                    <a:prstGeom prst="rect">
                      <a:avLst/>
                    </a:prstGeom>
                    <a:noFill/>
                    <a:ln>
                      <a:noFill/>
                    </a:ln>
                  </pic:spPr>
                </pic:pic>
              </a:graphicData>
            </a:graphic>
          </wp:inline>
        </w:drawing>
      </w:r>
    </w:p>
    <w:p w14:paraId="678675C9" w14:textId="3F483757" w:rsidR="00433344" w:rsidRPr="00713D33" w:rsidRDefault="00433344" w:rsidP="00713D33">
      <w:pPr>
        <w:pStyle w:val="Title"/>
        <w:jc w:val="center"/>
        <w:rPr>
          <w:rFonts w:ascii="72 Condensed" w:hAnsi="72 Condensed" w:cs="72 Condensed"/>
          <w:sz w:val="36"/>
        </w:rPr>
      </w:pPr>
    </w:p>
    <w:p w14:paraId="14F78CF7" w14:textId="480E6B21" w:rsidR="000B192E" w:rsidRPr="00FB167E" w:rsidRDefault="000B192E" w:rsidP="00B64BE0">
      <w:pPr>
        <w:rPr>
          <w:rFonts w:eastAsiaTheme="majorEastAsia" w:cstheme="majorBidi"/>
          <w:bCs/>
          <w:color w:val="2E74B5" w:themeColor="accent1" w:themeShade="BF"/>
          <w:sz w:val="44"/>
          <w:szCs w:val="60"/>
        </w:rPr>
      </w:pPr>
      <w:r w:rsidRPr="00FB167E">
        <w:rPr>
          <w:bCs/>
          <w:sz w:val="44"/>
          <w:szCs w:val="60"/>
        </w:rPr>
        <w:br w:type="page"/>
      </w:r>
    </w:p>
    <w:p w14:paraId="0C125264" w14:textId="77777777" w:rsidR="000E7BC8" w:rsidRPr="00FB167E" w:rsidRDefault="007024A3" w:rsidP="00AE7157">
      <w:pPr>
        <w:pStyle w:val="Heading1"/>
      </w:pPr>
      <w:r w:rsidRPr="00FB167E">
        <w:lastRenderedPageBreak/>
        <w:t>F</w:t>
      </w:r>
      <w:r w:rsidR="000E7BC8" w:rsidRPr="00FB167E">
        <w:t>oreword</w:t>
      </w:r>
    </w:p>
    <w:p w14:paraId="08D05592" w14:textId="77777777" w:rsidR="00D676AE" w:rsidRPr="00FB167E" w:rsidRDefault="00D676AE" w:rsidP="00AE7157">
      <w:pPr>
        <w:spacing w:before="240"/>
        <w:rPr>
          <w:rFonts w:cstheme="majorHAnsi"/>
        </w:rPr>
      </w:pPr>
      <w:r w:rsidRPr="00FB167E">
        <w:rPr>
          <w:rFonts w:cstheme="majorHAnsi"/>
        </w:rPr>
        <w:t xml:space="preserve">The elimination of workplace sexual harassment is essential to improving the safety, diversity and productivity of our workplaces, and has been a key focus of my work as Australia’s Sex Discrimination Commissioner. </w:t>
      </w:r>
    </w:p>
    <w:p w14:paraId="3B6F73DE" w14:textId="639CFD25" w:rsidR="00D676AE" w:rsidRPr="00FB167E" w:rsidRDefault="00D676AE" w:rsidP="00AE7157">
      <w:pPr>
        <w:rPr>
          <w:rFonts w:cstheme="majorHAnsi"/>
        </w:rPr>
      </w:pPr>
      <w:r w:rsidRPr="00FB167E">
        <w:rPr>
          <w:rFonts w:cstheme="majorHAnsi"/>
        </w:rPr>
        <w:t xml:space="preserve">The </w:t>
      </w:r>
      <w:r w:rsidRPr="00FB167E">
        <w:rPr>
          <w:rFonts w:cstheme="majorHAnsi"/>
          <w:i/>
        </w:rPr>
        <w:t>Respect@Work: National Inquiry into Sexual Harassment in Australian Workplaces Report</w:t>
      </w:r>
      <w:r w:rsidRPr="00FB167E">
        <w:rPr>
          <w:rFonts w:cstheme="majorHAnsi"/>
        </w:rPr>
        <w:t xml:space="preserve"> (Respect@Work Report) highlighted the prevalence, nature and reporting of sexual harassment in Australian workplaces, and recommended that a </w:t>
      </w:r>
      <w:r w:rsidRPr="00501A45">
        <w:rPr>
          <w:rFonts w:cstheme="majorHAnsi"/>
        </w:rPr>
        <w:t>multifaceted and whole-of-community response to tackling workplace sexual harassment be implemented</w:t>
      </w:r>
      <w:r w:rsidR="00964999">
        <w:rPr>
          <w:rFonts w:cstheme="majorHAnsi"/>
        </w:rPr>
        <w:t xml:space="preserve"> – </w:t>
      </w:r>
      <w:r w:rsidRPr="00501A45">
        <w:rPr>
          <w:rFonts w:cstheme="majorHAnsi"/>
        </w:rPr>
        <w:t xml:space="preserve">providing employers with guidance they need, and victims the support and redress they deserve. Changing the way we approach </w:t>
      </w:r>
      <w:r w:rsidRPr="00FB167E">
        <w:rPr>
          <w:rFonts w:cstheme="majorHAnsi"/>
        </w:rPr>
        <w:t xml:space="preserve">the use of non-disclosure agreements (NDAs) or confidentiality clauses in settlement agreements relating to sexual harassment complaints is an important step. </w:t>
      </w:r>
    </w:p>
    <w:p w14:paraId="05D7CF54" w14:textId="13471890" w:rsidR="003674EC" w:rsidRPr="00501A45" w:rsidRDefault="003674EC" w:rsidP="00AE7157">
      <w:pPr>
        <w:rPr>
          <w:rFonts w:cstheme="majorHAnsi"/>
        </w:rPr>
      </w:pPr>
      <w:r w:rsidRPr="00FB167E">
        <w:rPr>
          <w:rFonts w:cstheme="majorHAnsi"/>
        </w:rPr>
        <w:t xml:space="preserve">Through submissions to the National Inquiry, the Australian Human Rights Commission (Commission) heard how confidentiality obligations can be harmful and counter-productive to the elimination of sexual harassment; by silencing victims, concealing the behaviour of alleged harassers, and inhibiting oversight by leaders and boards through preventing fulsome and transparent upward reporting. Conversely, the Commission also heard that when navigated appropriately, confidentiality provisions can enhance victim-centricity of the response, for example by providing anonymity and privacy where that is the victim’s choice, as well as enabling greater flexibility for the parties to reach a resolution that is faster and less formal than litigation. </w:t>
      </w:r>
    </w:p>
    <w:p w14:paraId="26362665" w14:textId="7024FE22" w:rsidR="00CE4B5B" w:rsidRPr="00FB167E" w:rsidRDefault="00CE4B5B" w:rsidP="00AE7157">
      <w:pPr>
        <w:rPr>
          <w:rFonts w:cstheme="majorHAnsi"/>
        </w:rPr>
      </w:pPr>
      <w:r w:rsidRPr="00FB167E">
        <w:rPr>
          <w:rFonts w:cstheme="majorHAnsi"/>
        </w:rPr>
        <w:t xml:space="preserve">Recognising the advantages and disadvantages that need to be balanced, the Respect@Work Report did not recommend a blanket ban of the use of confidentiality clauses, but rather, the development of national guidelines for </w:t>
      </w:r>
      <w:r w:rsidR="0030341C" w:rsidRPr="00FB167E">
        <w:rPr>
          <w:rFonts w:cstheme="majorHAnsi"/>
        </w:rPr>
        <w:t>individuals</w:t>
      </w:r>
      <w:r w:rsidR="0030341C">
        <w:rPr>
          <w:rFonts w:cstheme="majorHAnsi"/>
        </w:rPr>
        <w:t>,</w:t>
      </w:r>
      <w:r w:rsidR="0030341C" w:rsidRPr="00FB167E">
        <w:rPr>
          <w:rFonts w:cstheme="majorHAnsi"/>
        </w:rPr>
        <w:t xml:space="preserve"> businesses</w:t>
      </w:r>
      <w:r w:rsidR="0030341C">
        <w:rPr>
          <w:rFonts w:cstheme="majorHAnsi"/>
        </w:rPr>
        <w:t xml:space="preserve"> and organisations</w:t>
      </w:r>
      <w:r w:rsidRPr="00FB167E">
        <w:rPr>
          <w:rFonts w:cstheme="majorHAnsi"/>
        </w:rPr>
        <w:t xml:space="preserve"> </w:t>
      </w:r>
      <w:r w:rsidR="00964999">
        <w:rPr>
          <w:rFonts w:cstheme="majorHAnsi"/>
        </w:rPr>
        <w:t>–</w:t>
      </w:r>
      <w:r w:rsidRPr="00FB167E">
        <w:rPr>
          <w:rFonts w:cstheme="majorHAnsi"/>
        </w:rPr>
        <w:t xml:space="preserve"> to highlight the best practice approach when considering whether, and how, to use confidentiality clauses in sexual harassment settlement agreements.</w:t>
      </w:r>
    </w:p>
    <w:p w14:paraId="3DBCDD78" w14:textId="49479F25" w:rsidR="00D676AE" w:rsidRPr="00501A45" w:rsidRDefault="00D676AE" w:rsidP="00AE7157">
      <w:pPr>
        <w:rPr>
          <w:rFonts w:cstheme="majorHAnsi"/>
        </w:rPr>
      </w:pPr>
      <w:r w:rsidRPr="00501A45">
        <w:rPr>
          <w:rFonts w:cstheme="majorHAnsi"/>
        </w:rPr>
        <w:t xml:space="preserve">The </w:t>
      </w:r>
      <w:r w:rsidRPr="00820136">
        <w:rPr>
          <w:rFonts w:cstheme="majorHAnsi"/>
          <w:i/>
        </w:rPr>
        <w:t xml:space="preserve">Guidelines </w:t>
      </w:r>
      <w:r w:rsidR="00607487" w:rsidRPr="00820136">
        <w:rPr>
          <w:rFonts w:cstheme="majorHAnsi"/>
          <w:i/>
        </w:rPr>
        <w:t>on the Use of Confidentiality Clauses in the Resolution of Workplace Sexual Harassment Complaints</w:t>
      </w:r>
      <w:r w:rsidR="00607487">
        <w:rPr>
          <w:rFonts w:cstheme="majorHAnsi"/>
        </w:rPr>
        <w:t xml:space="preserve"> (</w:t>
      </w:r>
      <w:r w:rsidR="00222B7C">
        <w:rPr>
          <w:rFonts w:cstheme="majorHAnsi"/>
        </w:rPr>
        <w:t xml:space="preserve">the </w:t>
      </w:r>
      <w:r w:rsidR="00607487">
        <w:rPr>
          <w:rFonts w:cstheme="majorHAnsi"/>
        </w:rPr>
        <w:t xml:space="preserve">Guidelines) </w:t>
      </w:r>
      <w:r w:rsidRPr="00501A45">
        <w:rPr>
          <w:rFonts w:cstheme="majorHAnsi"/>
        </w:rPr>
        <w:t xml:space="preserve">will help ensure that the manner in which private settlements of sexual harassment cases are </w:t>
      </w:r>
      <w:r w:rsidR="00152B85">
        <w:rPr>
          <w:rFonts w:cstheme="majorHAnsi"/>
        </w:rPr>
        <w:t>approached</w:t>
      </w:r>
      <w:r w:rsidR="00152B85" w:rsidRPr="00501A45">
        <w:rPr>
          <w:rFonts w:cstheme="majorHAnsi"/>
        </w:rPr>
        <w:t xml:space="preserve"> </w:t>
      </w:r>
      <w:r w:rsidRPr="00501A45">
        <w:rPr>
          <w:rFonts w:cstheme="majorHAnsi"/>
        </w:rPr>
        <w:t>appropriately considers the reduction of harm to individuals and the prevention of future sexual harassment. Adopting the approach put forward in these Guidelines will represent a significant change to corporate practice - by doing away with the long-standing assumption that confidentiality should be the starting point in every case, and moving to a more individualised approach. I encourage practitioners in the field to understand the reasons for, and benefits of, this change – and to embrace it accordingly. Similar reform is being seen in other jurisdictions, and it is incumbent on Australia to continue to show leadership and commitment to act. </w:t>
      </w:r>
    </w:p>
    <w:p w14:paraId="68C6F044" w14:textId="2B6A758B" w:rsidR="00D676AE" w:rsidRPr="00FB167E" w:rsidRDefault="00970CEA" w:rsidP="00AE7157">
      <w:pPr>
        <w:rPr>
          <w:rFonts w:cstheme="majorBidi"/>
        </w:rPr>
      </w:pPr>
      <w:r w:rsidRPr="643089FE">
        <w:rPr>
          <w:rFonts w:cstheme="majorBidi"/>
        </w:rPr>
        <w:t>I thank t</w:t>
      </w:r>
      <w:r w:rsidR="00D676AE" w:rsidRPr="643089FE">
        <w:rPr>
          <w:rFonts w:cstheme="majorBidi"/>
        </w:rPr>
        <w:t xml:space="preserve">he Attorney-General's Department </w:t>
      </w:r>
      <w:r w:rsidR="008707D6" w:rsidRPr="643089FE">
        <w:rPr>
          <w:rFonts w:cstheme="majorBidi"/>
        </w:rPr>
        <w:t xml:space="preserve">for </w:t>
      </w:r>
      <w:r w:rsidR="000C032B" w:rsidRPr="643089FE">
        <w:rPr>
          <w:rFonts w:cstheme="majorBidi"/>
        </w:rPr>
        <w:t xml:space="preserve">assistance in </w:t>
      </w:r>
      <w:r w:rsidR="008707D6" w:rsidRPr="643089FE">
        <w:rPr>
          <w:rFonts w:cstheme="majorBidi"/>
        </w:rPr>
        <w:t xml:space="preserve">developing </w:t>
      </w:r>
      <w:r w:rsidR="00D676AE" w:rsidRPr="643089FE">
        <w:rPr>
          <w:rFonts w:cstheme="majorBidi"/>
        </w:rPr>
        <w:t xml:space="preserve">these Guidelines, </w:t>
      </w:r>
      <w:r w:rsidR="2F48FEAA" w:rsidRPr="643089FE">
        <w:rPr>
          <w:rFonts w:cstheme="majorBidi"/>
        </w:rPr>
        <w:t>which have been developed in consultation with</w:t>
      </w:r>
      <w:r w:rsidR="00D676AE" w:rsidRPr="643089FE">
        <w:rPr>
          <w:rFonts w:cstheme="majorBidi"/>
        </w:rPr>
        <w:t xml:space="preserve"> the Fair Work Commission</w:t>
      </w:r>
      <w:r w:rsidR="00EB4C6E" w:rsidRPr="643089FE">
        <w:rPr>
          <w:rFonts w:cstheme="majorBidi"/>
        </w:rPr>
        <w:t xml:space="preserve">, </w:t>
      </w:r>
      <w:r w:rsidR="3D89AF3F" w:rsidRPr="643089FE">
        <w:rPr>
          <w:rFonts w:cstheme="majorBidi"/>
        </w:rPr>
        <w:t xml:space="preserve">and with </w:t>
      </w:r>
      <w:r w:rsidR="00D676AE" w:rsidRPr="643089FE">
        <w:rPr>
          <w:rFonts w:cstheme="majorBidi"/>
        </w:rPr>
        <w:t>the</w:t>
      </w:r>
      <w:r w:rsidR="2853E76D" w:rsidRPr="643089FE">
        <w:rPr>
          <w:rFonts w:cstheme="majorBidi"/>
        </w:rPr>
        <w:t xml:space="preserve"> support of the</w:t>
      </w:r>
      <w:r w:rsidR="00D676AE" w:rsidRPr="643089FE">
        <w:rPr>
          <w:rFonts w:cstheme="majorBidi"/>
        </w:rPr>
        <w:t xml:space="preserve"> Australian Human Rights Commission</w:t>
      </w:r>
      <w:r w:rsidR="00EB4C6E" w:rsidRPr="643089FE">
        <w:rPr>
          <w:rFonts w:cstheme="majorBidi"/>
        </w:rPr>
        <w:t xml:space="preserve">, </w:t>
      </w:r>
      <w:r w:rsidR="00D676AE" w:rsidRPr="643089FE">
        <w:rPr>
          <w:rFonts w:cstheme="majorBidi"/>
        </w:rPr>
        <w:t xml:space="preserve">the Respect@Work Council and a range of other stakeholders. </w:t>
      </w:r>
      <w:r w:rsidR="00103787" w:rsidRPr="643089FE">
        <w:rPr>
          <w:rFonts w:cstheme="majorBidi"/>
        </w:rPr>
        <w:t xml:space="preserve">I commend these </w:t>
      </w:r>
      <w:r w:rsidR="00F47EB5" w:rsidRPr="643089FE">
        <w:rPr>
          <w:rFonts w:cstheme="majorBidi"/>
        </w:rPr>
        <w:t>G</w:t>
      </w:r>
      <w:r w:rsidR="00103787" w:rsidRPr="643089FE">
        <w:rPr>
          <w:rFonts w:cstheme="majorBidi"/>
        </w:rPr>
        <w:t>uidelines to you.</w:t>
      </w:r>
    </w:p>
    <w:p w14:paraId="1B018BC3" w14:textId="77777777" w:rsidR="006C6C35" w:rsidRPr="00FB167E" w:rsidRDefault="006C6C35" w:rsidP="00AE7157"/>
    <w:p w14:paraId="255B6FF7" w14:textId="77777777" w:rsidR="006C6C35" w:rsidRPr="00FB167E" w:rsidRDefault="006C6C35" w:rsidP="00AE7157">
      <w:r w:rsidRPr="00FB167E">
        <w:rPr>
          <w:rFonts w:cstheme="majorHAnsi"/>
          <w:noProof/>
          <w:lang w:eastAsia="en-AU"/>
        </w:rPr>
        <w:drawing>
          <wp:inline distT="0" distB="0" distL="0" distR="0" wp14:anchorId="14480B18" wp14:editId="79FE2B10">
            <wp:extent cx="1370848" cy="1318721"/>
            <wp:effectExtent l="0" t="0" r="1270" b="0"/>
            <wp:docPr id="3" name="Picture 3" descr="Image of Kate Jenkins, Sex Discrimination Commissioner, Australian Human Rights Commission, and Chair of the Respect at Work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rors\Work Folders\Desktop\kate_jenkins.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672" b="27196"/>
                    <a:stretch/>
                  </pic:blipFill>
                  <pic:spPr bwMode="auto">
                    <a:xfrm>
                      <a:off x="0" y="0"/>
                      <a:ext cx="1403084" cy="1349731"/>
                    </a:xfrm>
                    <a:prstGeom prst="rect">
                      <a:avLst/>
                    </a:prstGeom>
                    <a:noFill/>
                    <a:ln>
                      <a:noFill/>
                    </a:ln>
                    <a:extLst>
                      <a:ext uri="{53640926-AAD7-44D8-BBD7-CCE9431645EC}">
                        <a14:shadowObscured xmlns:a14="http://schemas.microsoft.com/office/drawing/2010/main"/>
                      </a:ext>
                    </a:extLst>
                  </pic:spPr>
                </pic:pic>
              </a:graphicData>
            </a:graphic>
          </wp:inline>
        </w:drawing>
      </w:r>
    </w:p>
    <w:p w14:paraId="3FE30C14" w14:textId="77777777" w:rsidR="006C6C35" w:rsidRPr="00886E27" w:rsidRDefault="006C6C35" w:rsidP="00AE7157">
      <w:pPr>
        <w:spacing w:after="0" w:line="240" w:lineRule="auto"/>
        <w:rPr>
          <w:rFonts w:cstheme="majorHAnsi"/>
          <w:b/>
        </w:rPr>
      </w:pPr>
      <w:r w:rsidRPr="00886E27">
        <w:rPr>
          <w:rFonts w:cstheme="majorHAnsi"/>
          <w:b/>
        </w:rPr>
        <w:t>Kate Jenkins</w:t>
      </w:r>
    </w:p>
    <w:p w14:paraId="045341B2" w14:textId="77777777" w:rsidR="006C6C35" w:rsidRPr="00886E27" w:rsidRDefault="006C6C35" w:rsidP="00AE7157">
      <w:pPr>
        <w:spacing w:after="0" w:line="240" w:lineRule="auto"/>
        <w:rPr>
          <w:rFonts w:cstheme="majorHAnsi"/>
          <w:b/>
        </w:rPr>
      </w:pPr>
      <w:r w:rsidRPr="00886E27">
        <w:rPr>
          <w:rFonts w:cstheme="majorHAnsi"/>
          <w:b/>
        </w:rPr>
        <w:t>Sex Discrimination Commissioner, Australian Human Rights Commission</w:t>
      </w:r>
    </w:p>
    <w:p w14:paraId="736EE99B" w14:textId="77777777" w:rsidR="00EF6C6D" w:rsidRPr="00AE7157" w:rsidRDefault="006C6C35" w:rsidP="00AE7157">
      <w:pPr>
        <w:rPr>
          <w:rFonts w:eastAsiaTheme="majorEastAsia" w:cstheme="majorBidi"/>
          <w:b/>
          <w:iCs/>
          <w:color w:val="2E74B5" w:themeColor="accent1" w:themeShade="BF"/>
          <w:sz w:val="32"/>
          <w:szCs w:val="32"/>
        </w:rPr>
      </w:pPr>
      <w:r w:rsidRPr="00886E27">
        <w:rPr>
          <w:b/>
        </w:rPr>
        <w:t>Chair of the Respect@Work Council</w:t>
      </w:r>
      <w:bookmarkStart w:id="0" w:name="_GoBack"/>
      <w:bookmarkEnd w:id="0"/>
      <w:r w:rsidR="000B192E" w:rsidRPr="00152B85">
        <w:br w:type="page"/>
      </w:r>
      <w:r w:rsidR="005E6A0D" w:rsidRPr="00AE7157">
        <w:rPr>
          <w:rStyle w:val="Heading1Char"/>
        </w:rPr>
        <w:lastRenderedPageBreak/>
        <w:t xml:space="preserve">Terms in </w:t>
      </w:r>
      <w:r w:rsidR="00DC616A" w:rsidRPr="00AE7157">
        <w:rPr>
          <w:rStyle w:val="Heading1Char"/>
        </w:rPr>
        <w:t xml:space="preserve">the </w:t>
      </w:r>
      <w:r w:rsidR="00F47EB5" w:rsidRPr="00AE7157">
        <w:rPr>
          <w:rStyle w:val="Heading1Char"/>
        </w:rPr>
        <w:t>G</w:t>
      </w:r>
      <w:r w:rsidR="00DC616A" w:rsidRPr="00AE7157">
        <w:rPr>
          <w:rStyle w:val="Heading1Char"/>
        </w:rPr>
        <w:t>uidelines</w:t>
      </w:r>
      <w:bookmarkStart w:id="1" w:name="_Toc103854119"/>
    </w:p>
    <w:p w14:paraId="4E411257" w14:textId="0D7C44FA" w:rsidR="00EF6C6D" w:rsidRPr="00EF6C6D" w:rsidRDefault="001F47EC" w:rsidP="00AE7157">
      <w:pPr>
        <w:rPr>
          <w:szCs w:val="24"/>
        </w:rPr>
      </w:pPr>
      <w:r w:rsidRPr="00673F39">
        <w:rPr>
          <w:rStyle w:val="Heading2Char"/>
          <w:b/>
        </w:rPr>
        <w:t>Alleged harasser</w:t>
      </w:r>
      <w:r w:rsidRPr="00EF6C6D">
        <w:rPr>
          <w:szCs w:val="24"/>
        </w:rPr>
        <w:t xml:space="preserve"> - ‘Alleged harasser’ refers to anyone who is alleged or reported to have committed an act of sexual harassment.</w:t>
      </w:r>
    </w:p>
    <w:p w14:paraId="7EB3C37C" w14:textId="0D8CB77A" w:rsidR="001F47EC" w:rsidRPr="00EF6C6D" w:rsidRDefault="001F47EC" w:rsidP="00AE7157">
      <w:r w:rsidRPr="00673F39">
        <w:rPr>
          <w:rStyle w:val="Heading2Char"/>
          <w:b/>
        </w:rPr>
        <w:t>Confidentiality clause</w:t>
      </w:r>
      <w:r w:rsidRPr="00EF6C6D">
        <w:t xml:space="preserve"> - A confidentiality clause is a section within a workplace sexual harassment settlement agreement that requires particular details to be kept confidential as part of reaching the settlement. Confidentiality clauses are sometimes referred to as NDAs.</w:t>
      </w:r>
    </w:p>
    <w:p w14:paraId="3CA65455" w14:textId="77777777" w:rsidR="00806A33" w:rsidRPr="00EF6C6D" w:rsidRDefault="001F47EC" w:rsidP="00AE7157">
      <w:r w:rsidRPr="00673F39">
        <w:rPr>
          <w:rStyle w:val="Heading2Char"/>
          <w:b/>
        </w:rPr>
        <w:t>Intersectional</w:t>
      </w:r>
      <w:r w:rsidRPr="00EF6C6D">
        <w:t xml:space="preserve"> –</w:t>
      </w:r>
      <w:r w:rsidRPr="005E417B">
        <w:t xml:space="preserve"> Examining how different forms of inequality interact to create complex experiences of discrimination. This can be by understanding how one person’s diversity – their gender, race, ability, sexuality, age, class or immigration status – makes their experience different to someone else’s.</w:t>
      </w:r>
    </w:p>
    <w:p w14:paraId="31622DB4" w14:textId="79BC0204" w:rsidR="001F47EC" w:rsidRPr="00EF6C6D" w:rsidRDefault="001F47EC" w:rsidP="00AE7157">
      <w:r w:rsidRPr="00673F39">
        <w:rPr>
          <w:rStyle w:val="Heading2Char"/>
          <w:b/>
        </w:rPr>
        <w:t>Organisation</w:t>
      </w:r>
      <w:r w:rsidRPr="00673F39">
        <w:rPr>
          <w:b/>
        </w:rPr>
        <w:t xml:space="preserve"> </w:t>
      </w:r>
      <w:r w:rsidRPr="00EF6C6D">
        <w:t>-</w:t>
      </w:r>
      <w:r w:rsidRPr="005E417B">
        <w:t xml:space="preserve"> ‘Organisation’ refers to the workplace party responding to a sexual harassment complaint, such as an employer.</w:t>
      </w:r>
      <w:r w:rsidRPr="00EF6C6D">
        <w:t xml:space="preserve"> </w:t>
      </w:r>
    </w:p>
    <w:p w14:paraId="5C4B563F" w14:textId="2D341797" w:rsidR="001F47EC" w:rsidRPr="005E417B" w:rsidRDefault="001F47EC" w:rsidP="00AE7157">
      <w:r w:rsidRPr="00673F39">
        <w:rPr>
          <w:rStyle w:val="Heading2Char"/>
          <w:b/>
        </w:rPr>
        <w:t>Non-disclosure agreements</w:t>
      </w:r>
      <w:r w:rsidRPr="00DB3AB6">
        <w:rPr>
          <w:rStyle w:val="Heading2Char"/>
        </w:rPr>
        <w:t xml:space="preserve"> -</w:t>
      </w:r>
      <w:r w:rsidRPr="005E417B">
        <w:t xml:space="preserve"> Confidentiality clauses, and settlement agreements containing confidentiality clauses, are sometimes referred to as NDAs, including in the Respect@Work Report. These Guidelines will use confidentiality clause rather than NDA as the preferred term. This is because the term “NDA” implies that the primary purpose of the overarching settlement agreement is to limit disclosure of information. This is not often the case – settlement agreements cover a range of matters beyond confidentiality. </w:t>
      </w:r>
    </w:p>
    <w:p w14:paraId="7CAF1FE7" w14:textId="77777777" w:rsidR="00EF6C6D" w:rsidRDefault="001F47EC" w:rsidP="00AE7157">
      <w:r w:rsidRPr="00673F39">
        <w:rPr>
          <w:rStyle w:val="Heading2Char"/>
          <w:b/>
        </w:rPr>
        <w:t>Person who made the allegation</w:t>
      </w:r>
      <w:r w:rsidRPr="00DB3AB6">
        <w:rPr>
          <w:rStyle w:val="Heading2Char"/>
        </w:rPr>
        <w:t xml:space="preserve"> -</w:t>
      </w:r>
      <w:r w:rsidRPr="005E417B">
        <w:t xml:space="preserve"> The term ‘person who made the allegation’ is used in these Guidelines to mean an individual who has made an allegation about workplace sexual harassment. This may include an individual who refers to themselves as a ‘victim’, ‘complainant’ or ‘claimant’ in relation to sexual harassment.</w:t>
      </w:r>
    </w:p>
    <w:p w14:paraId="3A95A3AF" w14:textId="37C43196" w:rsidR="005E6A0D" w:rsidRPr="00EF6C6D" w:rsidRDefault="005E6A0D" w:rsidP="00AE7157">
      <w:r w:rsidRPr="00673F39">
        <w:rPr>
          <w:rStyle w:val="Heading2Char"/>
          <w:b/>
        </w:rPr>
        <w:t xml:space="preserve">Sexual </w:t>
      </w:r>
      <w:r w:rsidR="009F6D53" w:rsidRPr="00673F39">
        <w:rPr>
          <w:rStyle w:val="Heading2Char"/>
          <w:b/>
        </w:rPr>
        <w:t>h</w:t>
      </w:r>
      <w:r w:rsidRPr="00673F39">
        <w:rPr>
          <w:rStyle w:val="Heading2Char"/>
          <w:b/>
        </w:rPr>
        <w:t>arassment</w:t>
      </w:r>
      <w:bookmarkEnd w:id="1"/>
      <w:r w:rsidR="00E43AC7" w:rsidRPr="00DB3AB6">
        <w:rPr>
          <w:rStyle w:val="Heading2Char"/>
        </w:rPr>
        <w:t xml:space="preserve"> </w:t>
      </w:r>
      <w:r w:rsidR="00E43AC7" w:rsidRPr="00EF6C6D">
        <w:t xml:space="preserve">- </w:t>
      </w:r>
      <w:r w:rsidR="003608FC" w:rsidRPr="00EF6C6D">
        <w:t xml:space="preserve">Sexual harassment is any unwelcome sexual advance, unwelcome request for sexual favours or unwelcome </w:t>
      </w:r>
      <w:r w:rsidR="00501A45" w:rsidRPr="00EF6C6D">
        <w:t xml:space="preserve">conduct </w:t>
      </w:r>
      <w:r w:rsidR="003608FC" w:rsidRPr="00EF6C6D">
        <w:t>of a sexual nature in circumstances where a reasonable person would have anticipated the possibility that the person harassed would be offended, humiliated or intimidated</w:t>
      </w:r>
      <w:r w:rsidRPr="00EF6C6D">
        <w:t>.</w:t>
      </w:r>
      <w:r w:rsidRPr="005E417B">
        <w:t xml:space="preserve"> </w:t>
      </w:r>
    </w:p>
    <w:p w14:paraId="27B183FF" w14:textId="21DDB8F0" w:rsidR="00501A45" w:rsidRDefault="005E6A0D" w:rsidP="00AE7157">
      <w:r w:rsidRPr="00FB167E">
        <w:t xml:space="preserve">Sexual harassment is unlawful under the </w:t>
      </w:r>
      <w:r w:rsidRPr="00FB167E">
        <w:rPr>
          <w:i/>
        </w:rPr>
        <w:t>Sex Discrimination Act</w:t>
      </w:r>
      <w:r w:rsidR="00571746" w:rsidRPr="00FB167E">
        <w:rPr>
          <w:i/>
        </w:rPr>
        <w:t xml:space="preserve"> 1984</w:t>
      </w:r>
      <w:r w:rsidR="00571746" w:rsidRPr="00FB167E">
        <w:t xml:space="preserve"> (Cth) </w:t>
      </w:r>
      <w:r w:rsidRPr="00FB167E">
        <w:t xml:space="preserve">in different areas of public life, including employment, service delivery, accommodation and education. Some types of sexual harassment may also be criminal offences. </w:t>
      </w:r>
    </w:p>
    <w:p w14:paraId="19B5397B" w14:textId="28863905" w:rsidR="005E6A0D" w:rsidRPr="00FB167E" w:rsidRDefault="005E6A0D" w:rsidP="00AE7157">
      <w:pPr>
        <w:rPr>
          <w:rFonts w:cstheme="majorHAnsi"/>
        </w:rPr>
      </w:pPr>
      <w:r w:rsidRPr="00FB167E">
        <w:rPr>
          <w:rFonts w:cstheme="majorHAnsi"/>
        </w:rPr>
        <w:t xml:space="preserve">The Respect@Work Report </w:t>
      </w:r>
      <w:r w:rsidR="001F47EC">
        <w:rPr>
          <w:rFonts w:cstheme="majorHAnsi"/>
        </w:rPr>
        <w:t>set out</w:t>
      </w:r>
      <w:r w:rsidR="001F47EC" w:rsidRPr="00FB167E">
        <w:rPr>
          <w:rFonts w:cstheme="majorHAnsi"/>
        </w:rPr>
        <w:t xml:space="preserve"> </w:t>
      </w:r>
      <w:r w:rsidRPr="00FB167E">
        <w:rPr>
          <w:rFonts w:cstheme="majorHAnsi"/>
        </w:rPr>
        <w:t xml:space="preserve">a list of behaviours that are likely to constitute sexual harassment, which </w:t>
      </w:r>
      <w:r w:rsidR="001158D0" w:rsidRPr="00FB167E">
        <w:rPr>
          <w:rFonts w:cstheme="majorHAnsi"/>
        </w:rPr>
        <w:t>included:</w:t>
      </w:r>
    </w:p>
    <w:p w14:paraId="43122657"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unwelcome touching, hugging, cornering or kissing</w:t>
      </w:r>
    </w:p>
    <w:p w14:paraId="2A55B26C"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inappropriate staring or leering that made you feel intimidated</w:t>
      </w:r>
    </w:p>
    <w:p w14:paraId="34AA9268"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sexual gestures, indecent exposure or inappropriate display of the body</w:t>
      </w:r>
    </w:p>
    <w:p w14:paraId="0EBF69F7"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sexually suggestive comments or jokes that made you feel offended </w:t>
      </w:r>
    </w:p>
    <w:p w14:paraId="6050D576"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sexually explicit pictures, posters or gifts that made you feel offended </w:t>
      </w:r>
    </w:p>
    <w:p w14:paraId="1819FA91"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repeated or inappropriate invitations to go out on dates </w:t>
      </w:r>
    </w:p>
    <w:p w14:paraId="37AE5954"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intrusive questions about your private life or physical appearance that made you feel offended </w:t>
      </w:r>
    </w:p>
    <w:p w14:paraId="36A5BE63"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inappropriate physical contact </w:t>
      </w:r>
    </w:p>
    <w:p w14:paraId="0F85B1C3"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being followed or watched or having someone loitering nearby </w:t>
      </w:r>
    </w:p>
    <w:p w14:paraId="1701387F"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requests or pressure for sex or other sexual acts </w:t>
      </w:r>
    </w:p>
    <w:p w14:paraId="24E10B86"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actual or attempted rape or sexual assault </w:t>
      </w:r>
    </w:p>
    <w:p w14:paraId="6883CDAC"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indecent phone calls, including someone leaving a sexually explicit message on voicemail or an answering machine </w:t>
      </w:r>
    </w:p>
    <w:p w14:paraId="23762FF4"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sexually explicit comments made in emails, SMS messages or on social media </w:t>
      </w:r>
    </w:p>
    <w:p w14:paraId="081A6FC6"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repeated or inappropriate advances on email, social networking websites or internet chat rooms </w:t>
      </w:r>
    </w:p>
    <w:p w14:paraId="793EA105"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 xml:space="preserve">sharing or threatening to share intimate images or film of you without your consent </w:t>
      </w:r>
    </w:p>
    <w:p w14:paraId="72B42F74" w14:textId="77777777" w:rsidR="001158D0" w:rsidRPr="00501A45" w:rsidRDefault="001158D0" w:rsidP="00AE7157">
      <w:pPr>
        <w:pStyle w:val="ListParagraph"/>
        <w:numPr>
          <w:ilvl w:val="3"/>
          <w:numId w:val="9"/>
        </w:numPr>
        <w:ind w:left="851" w:right="56"/>
        <w:rPr>
          <w:rFonts w:cstheme="majorHAnsi"/>
          <w:szCs w:val="24"/>
        </w:rPr>
      </w:pPr>
      <w:r w:rsidRPr="00501A45">
        <w:rPr>
          <w:rFonts w:cstheme="majorHAnsi"/>
          <w:szCs w:val="24"/>
        </w:rPr>
        <w:t>any other unwelcome conduct of a sexual nature that occurred online or via some form of technology.</w:t>
      </w:r>
    </w:p>
    <w:p w14:paraId="13EBE3D2" w14:textId="42699DAC" w:rsidR="00CE4ACA" w:rsidRPr="00FB167E" w:rsidRDefault="00CE4ACA" w:rsidP="00AE7157">
      <w:bookmarkStart w:id="2" w:name="_Toc103854120"/>
      <w:r w:rsidRPr="00673F39">
        <w:rPr>
          <w:rStyle w:val="Heading2Char"/>
          <w:b/>
        </w:rPr>
        <w:lastRenderedPageBreak/>
        <w:t xml:space="preserve">Workplace sexual harassment settlement agreement </w:t>
      </w:r>
      <w:r w:rsidR="00501A45" w:rsidRPr="00673F39">
        <w:t xml:space="preserve">- </w:t>
      </w:r>
      <w:r w:rsidR="00FA2B5A" w:rsidRPr="00673F39">
        <w:t>A workplace sexual harassment settlement agreement (settlement agreement) is a legally enforceable arrangement</w:t>
      </w:r>
      <w:r w:rsidR="00AC35F2" w:rsidRPr="00673F39">
        <w:t xml:space="preserve"> made to resolve or settle a sexual harassment complaint. The parties to a settlement agreement</w:t>
      </w:r>
      <w:r w:rsidR="00254978" w:rsidRPr="00673F39">
        <w:t xml:space="preserve"> will usually include the person who made the </w:t>
      </w:r>
      <w:r w:rsidR="00BA23D4" w:rsidRPr="00673F39">
        <w:t>complaint</w:t>
      </w:r>
      <w:r w:rsidR="00254978" w:rsidRPr="00673F39">
        <w:t xml:space="preserve"> and </w:t>
      </w:r>
      <w:r w:rsidR="00EF64DC" w:rsidRPr="00673F39">
        <w:t xml:space="preserve">the organisation responding to </w:t>
      </w:r>
      <w:r w:rsidR="00BA23D4" w:rsidRPr="00673F39">
        <w:t>it</w:t>
      </w:r>
      <w:r w:rsidR="00EF64DC" w:rsidRPr="00673F39">
        <w:t>, and may also include the alleged harasser.</w:t>
      </w:r>
      <w:r w:rsidR="00254978" w:rsidRPr="00673F39">
        <w:t xml:space="preserve"> </w:t>
      </w:r>
      <w:r w:rsidR="00745EE2" w:rsidRPr="00673F39">
        <w:t xml:space="preserve">The settlement agreement </w:t>
      </w:r>
      <w:r w:rsidR="00FA2B5A" w:rsidRPr="00673F39">
        <w:t>will set out the actions each party will take to resolve and close the complaint.</w:t>
      </w:r>
    </w:p>
    <w:bookmarkEnd w:id="2"/>
    <w:p w14:paraId="17F0CE4C" w14:textId="21E9FC71" w:rsidR="000B192E" w:rsidRPr="00FB167E" w:rsidRDefault="000B192E" w:rsidP="00AE7157">
      <w:pPr>
        <w:pStyle w:val="Heading3"/>
        <w:rPr>
          <w:rFonts w:ascii="Calibri Light" w:eastAsiaTheme="minorHAnsi" w:hAnsi="Calibri Light" w:cs="Calibri Light"/>
          <w:color w:val="auto"/>
          <w:sz w:val="22"/>
          <w:szCs w:val="22"/>
        </w:rPr>
      </w:pPr>
      <w:r w:rsidRPr="00FB167E">
        <w:rPr>
          <w:rFonts w:ascii="Calibri Light" w:hAnsi="Calibri Light" w:cs="Calibri Light"/>
          <w:sz w:val="22"/>
          <w:szCs w:val="22"/>
        </w:rPr>
        <w:br w:type="page"/>
      </w:r>
    </w:p>
    <w:p w14:paraId="0C26E8BE" w14:textId="77777777" w:rsidR="00BE2052" w:rsidRPr="00FB167E" w:rsidRDefault="00BE2052" w:rsidP="00660D7C">
      <w:pPr>
        <w:pStyle w:val="Heading1"/>
      </w:pPr>
      <w:r w:rsidRPr="00FB167E">
        <w:lastRenderedPageBreak/>
        <w:t>Introduction</w:t>
      </w:r>
    </w:p>
    <w:p w14:paraId="4BBB7E2A" w14:textId="56364BF8" w:rsidR="005D6923" w:rsidRPr="00501A45" w:rsidRDefault="007E7A66" w:rsidP="00790E41">
      <w:pPr>
        <w:ind w:right="56"/>
        <w:rPr>
          <w:rFonts w:ascii="Calibri Light" w:hAnsi="Calibri Light" w:cs="Calibri Light"/>
        </w:rPr>
      </w:pPr>
      <w:r w:rsidRPr="00501A45">
        <w:rPr>
          <w:rFonts w:ascii="Calibri Light" w:hAnsi="Calibri Light" w:cs="Calibri Light"/>
        </w:rPr>
        <w:t>As part of the Respect@Work</w:t>
      </w:r>
      <w:r w:rsidR="00964999">
        <w:rPr>
          <w:rFonts w:ascii="Calibri Light" w:hAnsi="Calibri Light" w:cs="Calibri Light"/>
        </w:rPr>
        <w:t xml:space="preserve"> National</w:t>
      </w:r>
      <w:r w:rsidRPr="00501A45">
        <w:rPr>
          <w:rFonts w:ascii="Calibri Light" w:hAnsi="Calibri Light" w:cs="Calibri Light"/>
        </w:rPr>
        <w:t xml:space="preserve"> </w:t>
      </w:r>
      <w:r w:rsidR="00964999">
        <w:rPr>
          <w:rFonts w:ascii="Calibri Light" w:hAnsi="Calibri Light" w:cs="Calibri Light"/>
        </w:rPr>
        <w:t>I</w:t>
      </w:r>
      <w:r w:rsidRPr="00501A45">
        <w:rPr>
          <w:rFonts w:ascii="Calibri Light" w:hAnsi="Calibri Light" w:cs="Calibri Light"/>
        </w:rPr>
        <w:t xml:space="preserve">nquiry, the </w:t>
      </w:r>
      <w:r w:rsidR="009429D1">
        <w:rPr>
          <w:rFonts w:ascii="Calibri Light" w:hAnsi="Calibri Light" w:cs="Calibri Light"/>
        </w:rPr>
        <w:t xml:space="preserve">Australian Human Rights </w:t>
      </w:r>
      <w:r w:rsidRPr="00501A45">
        <w:rPr>
          <w:rFonts w:ascii="Calibri Light" w:hAnsi="Calibri Light" w:cs="Calibri Light"/>
        </w:rPr>
        <w:t xml:space="preserve">Commission </w:t>
      </w:r>
      <w:r w:rsidR="009429D1">
        <w:rPr>
          <w:rFonts w:ascii="Calibri Light" w:hAnsi="Calibri Light" w:cs="Calibri Light"/>
        </w:rPr>
        <w:t xml:space="preserve">(Commission) </w:t>
      </w:r>
      <w:r w:rsidRPr="00501A45">
        <w:rPr>
          <w:rFonts w:ascii="Calibri Light" w:hAnsi="Calibri Light" w:cs="Calibri Light"/>
        </w:rPr>
        <w:t>heard concerns about</w:t>
      </w:r>
      <w:r w:rsidR="00A6678F" w:rsidRPr="00501A45">
        <w:rPr>
          <w:rFonts w:ascii="Calibri Light" w:hAnsi="Calibri Light" w:cs="Calibri Light"/>
        </w:rPr>
        <w:t xml:space="preserve"> </w:t>
      </w:r>
      <w:r w:rsidR="003E68FD" w:rsidRPr="00501A45">
        <w:rPr>
          <w:rFonts w:ascii="Calibri Light" w:hAnsi="Calibri Light" w:cs="Calibri Light"/>
        </w:rPr>
        <w:t>how</w:t>
      </w:r>
      <w:r w:rsidR="007024A3" w:rsidRPr="00501A45">
        <w:rPr>
          <w:rFonts w:ascii="Calibri Light" w:hAnsi="Calibri Light" w:cs="Calibri Light"/>
        </w:rPr>
        <w:t xml:space="preserve"> </w:t>
      </w:r>
      <w:r w:rsidR="003E68FD" w:rsidRPr="00501A45">
        <w:rPr>
          <w:rFonts w:ascii="Calibri Light" w:hAnsi="Calibri Light" w:cs="Calibri Light"/>
        </w:rPr>
        <w:t>confidentiality clauses</w:t>
      </w:r>
      <w:r w:rsidR="003F0EA3" w:rsidRPr="00501A45">
        <w:rPr>
          <w:rFonts w:ascii="Calibri Light" w:hAnsi="Calibri Light" w:cs="Calibri Light"/>
        </w:rPr>
        <w:t xml:space="preserve"> in </w:t>
      </w:r>
      <w:r w:rsidR="004001B2" w:rsidRPr="00850C99">
        <w:rPr>
          <w:rFonts w:ascii="Calibri Light" w:hAnsi="Calibri Light" w:cs="Calibri Light"/>
        </w:rPr>
        <w:t>workplace sexual harassment settlement agreement</w:t>
      </w:r>
      <w:r w:rsidR="004001B2">
        <w:rPr>
          <w:rFonts w:ascii="Calibri Light" w:hAnsi="Calibri Light" w:cs="Calibri Light"/>
        </w:rPr>
        <w:t>s (settlement agreements)</w:t>
      </w:r>
      <w:r w:rsidR="003E68FD" w:rsidRPr="00501A45">
        <w:rPr>
          <w:rFonts w:ascii="Calibri Light" w:hAnsi="Calibri Light" w:cs="Calibri Light"/>
        </w:rPr>
        <w:t xml:space="preserve"> </w:t>
      </w:r>
      <w:r w:rsidR="009429D1">
        <w:rPr>
          <w:rFonts w:ascii="Calibri Light" w:hAnsi="Calibri Light" w:cs="Calibri Light"/>
        </w:rPr>
        <w:t>can be used</w:t>
      </w:r>
      <w:r w:rsidR="009429D1" w:rsidRPr="00501A45">
        <w:rPr>
          <w:rFonts w:ascii="Calibri Light" w:hAnsi="Calibri Light" w:cs="Calibri Light"/>
        </w:rPr>
        <w:t xml:space="preserve"> </w:t>
      </w:r>
      <w:r w:rsidRPr="00501A45">
        <w:rPr>
          <w:rFonts w:ascii="Calibri Light" w:hAnsi="Calibri Light" w:cs="Calibri Light"/>
        </w:rPr>
        <w:t xml:space="preserve">to intimidate and silence victims, conceal the behaviour of </w:t>
      </w:r>
      <w:r w:rsidR="00500E3A" w:rsidRPr="00501A45">
        <w:rPr>
          <w:rFonts w:ascii="Calibri Light" w:hAnsi="Calibri Light" w:cs="Calibri Light"/>
        </w:rPr>
        <w:t xml:space="preserve">alleged </w:t>
      </w:r>
      <w:r w:rsidRPr="00501A45">
        <w:rPr>
          <w:rFonts w:ascii="Calibri Light" w:hAnsi="Calibri Light" w:cs="Calibri Light"/>
        </w:rPr>
        <w:t>harassers</w:t>
      </w:r>
      <w:r w:rsidR="008D58EE" w:rsidRPr="00501A45">
        <w:rPr>
          <w:rFonts w:ascii="Calibri Light" w:hAnsi="Calibri Light" w:cs="Calibri Light"/>
        </w:rPr>
        <w:t xml:space="preserve">, and inhibit oversight by </w:t>
      </w:r>
      <w:r w:rsidR="008C5444">
        <w:rPr>
          <w:rFonts w:ascii="Calibri Light" w:hAnsi="Calibri Light" w:cs="Calibri Light"/>
        </w:rPr>
        <w:t xml:space="preserve">leaders (including </w:t>
      </w:r>
      <w:r w:rsidR="006A3B1A">
        <w:rPr>
          <w:rFonts w:ascii="Calibri Light" w:hAnsi="Calibri Light" w:cs="Calibri Light"/>
        </w:rPr>
        <w:t>managers</w:t>
      </w:r>
      <w:r w:rsidR="008C5444">
        <w:rPr>
          <w:rFonts w:ascii="Calibri Light" w:hAnsi="Calibri Light" w:cs="Calibri Light"/>
        </w:rPr>
        <w:t xml:space="preserve"> and </w:t>
      </w:r>
      <w:r w:rsidR="006A3B1A">
        <w:rPr>
          <w:rFonts w:ascii="Calibri Light" w:hAnsi="Calibri Light" w:cs="Calibri Light"/>
        </w:rPr>
        <w:t>executives</w:t>
      </w:r>
      <w:r w:rsidR="008C5444">
        <w:rPr>
          <w:rFonts w:ascii="Calibri Light" w:hAnsi="Calibri Light" w:cs="Calibri Light"/>
        </w:rPr>
        <w:t>)</w:t>
      </w:r>
      <w:r w:rsidR="008D58EE" w:rsidRPr="00501A45">
        <w:rPr>
          <w:rFonts w:ascii="Calibri Light" w:hAnsi="Calibri Light" w:cs="Calibri Light"/>
        </w:rPr>
        <w:t xml:space="preserve"> and boards </w:t>
      </w:r>
      <w:r w:rsidR="00FD1F32" w:rsidRPr="00501A45">
        <w:rPr>
          <w:rFonts w:ascii="Calibri Light" w:hAnsi="Calibri Light" w:cs="Calibri Light"/>
        </w:rPr>
        <w:t>who</w:t>
      </w:r>
      <w:r w:rsidR="008D58EE" w:rsidRPr="00501A45">
        <w:rPr>
          <w:rFonts w:ascii="Calibri Light" w:hAnsi="Calibri Light" w:cs="Calibri Light"/>
        </w:rPr>
        <w:t xml:space="preserve">, in some cases, </w:t>
      </w:r>
      <w:r w:rsidR="006677EA" w:rsidRPr="00501A45">
        <w:rPr>
          <w:rFonts w:ascii="Calibri Light" w:hAnsi="Calibri Light" w:cs="Calibri Light"/>
        </w:rPr>
        <w:t xml:space="preserve">may </w:t>
      </w:r>
      <w:r w:rsidR="008D58EE" w:rsidRPr="00501A45">
        <w:rPr>
          <w:rFonts w:ascii="Calibri Light" w:hAnsi="Calibri Light" w:cs="Calibri Light"/>
        </w:rPr>
        <w:t xml:space="preserve">not </w:t>
      </w:r>
      <w:r w:rsidR="006677EA" w:rsidRPr="00501A45">
        <w:rPr>
          <w:rFonts w:ascii="Calibri Light" w:hAnsi="Calibri Light" w:cs="Calibri Light"/>
        </w:rPr>
        <w:t xml:space="preserve">be </w:t>
      </w:r>
      <w:r w:rsidR="008D58EE" w:rsidRPr="00501A45">
        <w:rPr>
          <w:rFonts w:ascii="Calibri Light" w:hAnsi="Calibri Light" w:cs="Calibri Light"/>
        </w:rPr>
        <w:t xml:space="preserve">aware that </w:t>
      </w:r>
      <w:r w:rsidR="00C6223E" w:rsidRPr="00501A45">
        <w:rPr>
          <w:rFonts w:ascii="Calibri Light" w:hAnsi="Calibri Light" w:cs="Calibri Light"/>
        </w:rPr>
        <w:t xml:space="preserve">complaints </w:t>
      </w:r>
      <w:r w:rsidR="008D58EE" w:rsidRPr="00501A45">
        <w:rPr>
          <w:rFonts w:ascii="Calibri Light" w:hAnsi="Calibri Light" w:cs="Calibri Light"/>
        </w:rPr>
        <w:t>have been raised if they were settled confidentially</w:t>
      </w:r>
      <w:r w:rsidR="00310029" w:rsidRPr="00501A45">
        <w:rPr>
          <w:rFonts w:ascii="Calibri Light" w:hAnsi="Calibri Light" w:cs="Calibri Light"/>
        </w:rPr>
        <w:t xml:space="preserve">. This has, in turn, enabled </w:t>
      </w:r>
      <w:r w:rsidR="00BC53F3" w:rsidRPr="00501A45">
        <w:rPr>
          <w:rFonts w:ascii="Calibri Light" w:hAnsi="Calibri Light" w:cs="Calibri Light"/>
        </w:rPr>
        <w:t xml:space="preserve">alleged </w:t>
      </w:r>
      <w:r w:rsidR="00310029" w:rsidRPr="00501A45">
        <w:rPr>
          <w:rFonts w:ascii="Calibri Light" w:hAnsi="Calibri Light" w:cs="Calibri Light"/>
        </w:rPr>
        <w:t xml:space="preserve">harassers to </w:t>
      </w:r>
      <w:r w:rsidR="006A3B1A">
        <w:rPr>
          <w:rFonts w:ascii="Calibri Light" w:hAnsi="Calibri Light" w:cs="Calibri Light"/>
        </w:rPr>
        <w:t xml:space="preserve">remain in the same workplace or </w:t>
      </w:r>
      <w:r w:rsidRPr="00501A45">
        <w:rPr>
          <w:rFonts w:ascii="Calibri Light" w:hAnsi="Calibri Light" w:cs="Calibri Light"/>
        </w:rPr>
        <w:t xml:space="preserve">move within industries and continue to engage in sexual harassment. </w:t>
      </w:r>
    </w:p>
    <w:p w14:paraId="72E3F37C" w14:textId="6712E8E8" w:rsidR="007E7A66" w:rsidRPr="00501A45" w:rsidRDefault="00713C73" w:rsidP="00790E41">
      <w:pPr>
        <w:ind w:right="56"/>
        <w:rPr>
          <w:rFonts w:ascii="Calibri Light" w:hAnsi="Calibri Light" w:cs="Calibri Light"/>
        </w:rPr>
      </w:pPr>
      <w:r>
        <w:rPr>
          <w:rFonts w:ascii="Calibri Light" w:hAnsi="Calibri Light" w:cs="Calibri Light"/>
        </w:rPr>
        <w:t>T</w:t>
      </w:r>
      <w:r w:rsidR="007E7A66" w:rsidRPr="00501A45">
        <w:rPr>
          <w:rFonts w:ascii="Calibri Light" w:hAnsi="Calibri Light" w:cs="Calibri Light"/>
        </w:rPr>
        <w:t xml:space="preserve">he Commission </w:t>
      </w:r>
      <w:r>
        <w:rPr>
          <w:rFonts w:ascii="Calibri Light" w:hAnsi="Calibri Light" w:cs="Calibri Light"/>
        </w:rPr>
        <w:t xml:space="preserve">also </w:t>
      </w:r>
      <w:r w:rsidR="007E7A66" w:rsidRPr="00501A45">
        <w:rPr>
          <w:rFonts w:ascii="Calibri Light" w:hAnsi="Calibri Light" w:cs="Calibri Light"/>
        </w:rPr>
        <w:t>recognise</w:t>
      </w:r>
      <w:r>
        <w:rPr>
          <w:rFonts w:ascii="Calibri Light" w:hAnsi="Calibri Light" w:cs="Calibri Light"/>
        </w:rPr>
        <w:t>s</w:t>
      </w:r>
      <w:r w:rsidR="007E7A66" w:rsidRPr="00501A45">
        <w:rPr>
          <w:rFonts w:ascii="Calibri Light" w:hAnsi="Calibri Light" w:cs="Calibri Light"/>
        </w:rPr>
        <w:t xml:space="preserve"> that </w:t>
      </w:r>
      <w:r w:rsidR="00A6678F" w:rsidRPr="00501A45">
        <w:rPr>
          <w:rFonts w:ascii="Calibri Light" w:hAnsi="Calibri Light" w:cs="Calibri Light"/>
        </w:rPr>
        <w:t xml:space="preserve">confidentiality </w:t>
      </w:r>
      <w:r w:rsidR="0033280C" w:rsidRPr="00501A45">
        <w:rPr>
          <w:rFonts w:ascii="Calibri Light" w:hAnsi="Calibri Light" w:cs="Calibri Light"/>
        </w:rPr>
        <w:t>clauses</w:t>
      </w:r>
      <w:r w:rsidR="00A6678F" w:rsidRPr="00501A45">
        <w:rPr>
          <w:rFonts w:ascii="Calibri Light" w:hAnsi="Calibri Light" w:cs="Calibri Light"/>
        </w:rPr>
        <w:t xml:space="preserve"> </w:t>
      </w:r>
      <w:r w:rsidR="007E7A66" w:rsidRPr="00501A45">
        <w:rPr>
          <w:rFonts w:ascii="Calibri Light" w:hAnsi="Calibri Light" w:cs="Calibri Light"/>
        </w:rPr>
        <w:t xml:space="preserve">can have benefits for </w:t>
      </w:r>
      <w:r w:rsidR="009C2CD3" w:rsidRPr="00501A45">
        <w:rPr>
          <w:rFonts w:ascii="Calibri Light" w:hAnsi="Calibri Light" w:cs="Calibri Light"/>
        </w:rPr>
        <w:t xml:space="preserve">the person who made the allegation </w:t>
      </w:r>
      <w:r w:rsidR="007E7A66" w:rsidRPr="00501A45">
        <w:rPr>
          <w:rFonts w:ascii="Calibri Light" w:hAnsi="Calibri Light" w:cs="Calibri Light"/>
        </w:rPr>
        <w:t xml:space="preserve">and other parties </w:t>
      </w:r>
      <w:r w:rsidR="006677EA" w:rsidRPr="00501A45">
        <w:rPr>
          <w:rFonts w:ascii="Calibri Light" w:hAnsi="Calibri Light" w:cs="Calibri Light"/>
        </w:rPr>
        <w:t xml:space="preserve">and as such, </w:t>
      </w:r>
      <w:r w:rsidR="007E7A66" w:rsidRPr="00501A45">
        <w:rPr>
          <w:rFonts w:ascii="Calibri Light" w:hAnsi="Calibri Light" w:cs="Calibri Light"/>
        </w:rPr>
        <w:t>should</w:t>
      </w:r>
      <w:r w:rsidR="00A6678F" w:rsidRPr="00501A45">
        <w:rPr>
          <w:rFonts w:ascii="Calibri Light" w:hAnsi="Calibri Light" w:cs="Calibri Light"/>
        </w:rPr>
        <w:t xml:space="preserve"> not</w:t>
      </w:r>
      <w:r w:rsidR="007E7A66" w:rsidRPr="00501A45">
        <w:rPr>
          <w:rFonts w:ascii="Calibri Light" w:hAnsi="Calibri Light" w:cs="Calibri Light"/>
        </w:rPr>
        <w:t xml:space="preserve"> </w:t>
      </w:r>
      <w:r w:rsidR="0059538B" w:rsidRPr="00501A45">
        <w:rPr>
          <w:rFonts w:ascii="Calibri Light" w:hAnsi="Calibri Light" w:cs="Calibri Light"/>
        </w:rPr>
        <w:t>be subject to a blanket ban</w:t>
      </w:r>
      <w:r w:rsidR="003770B8" w:rsidRPr="00501A45">
        <w:rPr>
          <w:rFonts w:ascii="Calibri Light" w:hAnsi="Calibri Light" w:cs="Calibri Light"/>
        </w:rPr>
        <w:t>. Instead,</w:t>
      </w:r>
      <w:r w:rsidR="006677EA" w:rsidRPr="00501A45">
        <w:rPr>
          <w:rFonts w:ascii="Calibri Light" w:hAnsi="Calibri Light" w:cs="Calibri Light"/>
        </w:rPr>
        <w:t xml:space="preserve"> </w:t>
      </w:r>
      <w:r w:rsidR="00AA5F69" w:rsidRPr="00501A45">
        <w:rPr>
          <w:rFonts w:ascii="Calibri Light" w:hAnsi="Calibri Light" w:cs="Calibri Light"/>
        </w:rPr>
        <w:t xml:space="preserve">the Respect@Work Report recommended that the Commission develop </w:t>
      </w:r>
      <w:r w:rsidR="00337FA1" w:rsidRPr="00501A45">
        <w:rPr>
          <w:rFonts w:ascii="Calibri Light" w:hAnsi="Calibri Light" w:cs="Calibri Light"/>
        </w:rPr>
        <w:t xml:space="preserve">guidance </w:t>
      </w:r>
      <w:r w:rsidR="00A34626" w:rsidRPr="00501A45">
        <w:rPr>
          <w:rFonts w:ascii="Calibri Light" w:hAnsi="Calibri Light" w:cs="Calibri Light"/>
        </w:rPr>
        <w:t xml:space="preserve">for the use of </w:t>
      </w:r>
      <w:r w:rsidR="006677EA" w:rsidRPr="00501A45">
        <w:rPr>
          <w:rFonts w:ascii="Calibri Light" w:hAnsi="Calibri Light" w:cs="Calibri Light"/>
        </w:rPr>
        <w:t xml:space="preserve">confidentiality </w:t>
      </w:r>
      <w:r w:rsidR="00337FA1" w:rsidRPr="00501A45">
        <w:rPr>
          <w:rFonts w:ascii="Calibri Light" w:hAnsi="Calibri Light" w:cs="Calibri Light"/>
        </w:rPr>
        <w:t xml:space="preserve">clauses </w:t>
      </w:r>
      <w:r w:rsidR="00A34626" w:rsidRPr="00501A45">
        <w:rPr>
          <w:rFonts w:ascii="Calibri Light" w:hAnsi="Calibri Light" w:cs="Calibri Light"/>
        </w:rPr>
        <w:t xml:space="preserve">in </w:t>
      </w:r>
      <w:r w:rsidR="006677EA" w:rsidRPr="00501A45">
        <w:rPr>
          <w:rFonts w:ascii="Calibri Light" w:hAnsi="Calibri Light" w:cs="Calibri Light"/>
        </w:rPr>
        <w:t xml:space="preserve">workplace sexual harassment </w:t>
      </w:r>
      <w:r w:rsidR="00A34626" w:rsidRPr="00501A45">
        <w:rPr>
          <w:rFonts w:ascii="Calibri Light" w:hAnsi="Calibri Light" w:cs="Calibri Light"/>
        </w:rPr>
        <w:t xml:space="preserve">matters </w:t>
      </w:r>
      <w:r w:rsidR="006677EA" w:rsidRPr="00501A45">
        <w:rPr>
          <w:rFonts w:ascii="Calibri Light" w:hAnsi="Calibri Light" w:cs="Calibri Light"/>
        </w:rPr>
        <w:t>(recommendation 38).</w:t>
      </w:r>
      <w:r w:rsidR="002A5197" w:rsidRPr="002A5197">
        <w:rPr>
          <w:rStyle w:val="FootnoteReference"/>
          <w:rFonts w:ascii="Calibri Light" w:hAnsi="Calibri Light" w:cs="Calibri Light"/>
        </w:rPr>
        <w:footnoteReference w:customMarkFollows="1" w:id="2"/>
        <w:sym w:font="Symbol" w:char="F02A"/>
      </w:r>
      <w:r w:rsidR="00337FA1" w:rsidRPr="00501A45">
        <w:rPr>
          <w:rFonts w:ascii="Calibri Light" w:hAnsi="Calibri Light" w:cs="Calibri Light"/>
        </w:rPr>
        <w:t xml:space="preserve"> </w:t>
      </w:r>
      <w:r w:rsidR="00FD1F32" w:rsidRPr="00501A45">
        <w:rPr>
          <w:rFonts w:ascii="Calibri Light" w:hAnsi="Calibri Light" w:cs="Calibri Light"/>
        </w:rPr>
        <w:t xml:space="preserve">These </w:t>
      </w:r>
      <w:r w:rsidR="00157410" w:rsidRPr="00501A45">
        <w:rPr>
          <w:rFonts w:ascii="Calibri Light" w:hAnsi="Calibri Light" w:cs="Calibri Light"/>
        </w:rPr>
        <w:t>Guidelines</w:t>
      </w:r>
      <w:r w:rsidR="00157410" w:rsidRPr="00501A45">
        <w:rPr>
          <w:i/>
        </w:rPr>
        <w:t xml:space="preserve"> </w:t>
      </w:r>
      <w:r w:rsidR="00C6223E" w:rsidRPr="00501A45">
        <w:rPr>
          <w:rFonts w:ascii="Calibri Light" w:hAnsi="Calibri Light" w:cs="Calibri Light"/>
        </w:rPr>
        <w:t xml:space="preserve">are </w:t>
      </w:r>
      <w:r w:rsidR="00157410" w:rsidRPr="00501A45">
        <w:rPr>
          <w:rFonts w:ascii="Calibri Light" w:hAnsi="Calibri Light" w:cs="Calibri Light"/>
        </w:rPr>
        <w:t>the product of that recommendation.</w:t>
      </w:r>
    </w:p>
    <w:p w14:paraId="27715328" w14:textId="7C0D5F67" w:rsidR="005F3BA5" w:rsidRPr="00FB167E" w:rsidRDefault="005F3BA5" w:rsidP="00581D69">
      <w:pPr>
        <w:ind w:right="56"/>
        <w:rPr>
          <w:rFonts w:cstheme="majorHAnsi"/>
        </w:rPr>
      </w:pPr>
      <w:r w:rsidRPr="00FB167E">
        <w:rPr>
          <w:rFonts w:cstheme="majorHAnsi"/>
        </w:rPr>
        <w:t xml:space="preserve">These Guidelines outline </w:t>
      </w:r>
      <w:r w:rsidR="004001B2">
        <w:rPr>
          <w:rFonts w:cstheme="majorHAnsi"/>
        </w:rPr>
        <w:t>a recommended approach</w:t>
      </w:r>
      <w:r w:rsidR="00511F8F" w:rsidRPr="00FB167E">
        <w:rPr>
          <w:rFonts w:cstheme="majorHAnsi"/>
        </w:rPr>
        <w:t xml:space="preserve"> to guide</w:t>
      </w:r>
      <w:r w:rsidRPr="00FB167E">
        <w:rPr>
          <w:rFonts w:cstheme="majorHAnsi"/>
        </w:rPr>
        <w:t xml:space="preserve"> </w:t>
      </w:r>
      <w:r w:rsidR="00054FBC" w:rsidRPr="00FB167E">
        <w:rPr>
          <w:rFonts w:cstheme="majorHAnsi"/>
        </w:rPr>
        <w:t>the use of</w:t>
      </w:r>
      <w:r w:rsidRPr="00FB167E">
        <w:rPr>
          <w:rFonts w:cstheme="majorHAnsi"/>
        </w:rPr>
        <w:t xml:space="preserve"> confidentiality clauses in settlement agreement</w:t>
      </w:r>
      <w:r w:rsidR="00511F8F" w:rsidRPr="00FB167E">
        <w:rPr>
          <w:rFonts w:cstheme="majorHAnsi"/>
        </w:rPr>
        <w:t>s</w:t>
      </w:r>
      <w:r w:rsidRPr="00FB167E">
        <w:rPr>
          <w:rFonts w:cstheme="majorHAnsi"/>
        </w:rPr>
        <w:t xml:space="preserve">. Adopting </w:t>
      </w:r>
      <w:r w:rsidR="004001B2">
        <w:rPr>
          <w:rFonts w:cstheme="majorHAnsi"/>
        </w:rPr>
        <w:t>this approach</w:t>
      </w:r>
      <w:r w:rsidRPr="00FB167E">
        <w:rPr>
          <w:rFonts w:cstheme="majorHAnsi"/>
        </w:rPr>
        <w:t xml:space="preserve"> will help contribute to improving the way confidentiality clauses are used in relation to workplace sexual harassment complaints. </w:t>
      </w:r>
      <w:bookmarkStart w:id="3" w:name="_Hlk117675475"/>
      <w:r w:rsidRPr="00FB167E">
        <w:rPr>
          <w:rFonts w:cstheme="majorHAnsi"/>
        </w:rPr>
        <w:t xml:space="preserve">It will also help support individuals and </w:t>
      </w:r>
      <w:r w:rsidR="00713C73">
        <w:rPr>
          <w:rFonts w:cstheme="majorHAnsi"/>
        </w:rPr>
        <w:t>employers</w:t>
      </w:r>
      <w:r w:rsidRPr="00FB167E">
        <w:rPr>
          <w:rFonts w:cstheme="majorHAnsi"/>
        </w:rPr>
        <w:t xml:space="preserve"> to meet their obligations under the </w:t>
      </w:r>
      <w:r w:rsidRPr="00FB167E">
        <w:rPr>
          <w:rFonts w:cstheme="majorHAnsi"/>
          <w:i/>
        </w:rPr>
        <w:t>Fair Work Act 2009</w:t>
      </w:r>
      <w:r w:rsidRPr="00FB167E">
        <w:rPr>
          <w:rFonts w:cstheme="majorHAnsi"/>
        </w:rPr>
        <w:t xml:space="preserve"> (Cth) and discrimination laws, including the </w:t>
      </w:r>
      <w:r w:rsidRPr="00FB167E">
        <w:rPr>
          <w:rFonts w:cstheme="majorHAnsi"/>
          <w:i/>
        </w:rPr>
        <w:t>Sex</w:t>
      </w:r>
      <w:r w:rsidR="00964999">
        <w:rPr>
          <w:rFonts w:cstheme="majorHAnsi"/>
          <w:i/>
        </w:rPr>
        <w:t> </w:t>
      </w:r>
      <w:r w:rsidRPr="00FB167E">
        <w:rPr>
          <w:rFonts w:cstheme="majorHAnsi"/>
          <w:i/>
        </w:rPr>
        <w:t xml:space="preserve">Discrimination Act 1984 </w:t>
      </w:r>
      <w:r w:rsidRPr="00FB167E">
        <w:rPr>
          <w:rFonts w:cstheme="majorHAnsi"/>
          <w:iCs/>
        </w:rPr>
        <w:t>(Cth)</w:t>
      </w:r>
      <w:r w:rsidRPr="00FB167E">
        <w:rPr>
          <w:rFonts w:cstheme="majorHAnsi"/>
        </w:rPr>
        <w:t>, as well as Work Health and Safety (WHS) obligations by, for example, reducing the risk of repeated instances of workplace sexual harassment occurring, and helping to identify and control hazards that contribute to the risk of workplace sexual harassment.</w:t>
      </w:r>
    </w:p>
    <w:bookmarkEnd w:id="3"/>
    <w:p w14:paraId="2E00E145" w14:textId="54CFF78B" w:rsidR="00581D69" w:rsidRPr="00FB167E" w:rsidRDefault="00581D69" w:rsidP="00581D69">
      <w:pPr>
        <w:ind w:right="56"/>
        <w:rPr>
          <w:rFonts w:cstheme="majorHAnsi"/>
        </w:rPr>
      </w:pPr>
      <w:r w:rsidRPr="00FB167E">
        <w:rPr>
          <w:rFonts w:cstheme="majorHAnsi"/>
        </w:rPr>
        <w:t>Th</w:t>
      </w:r>
      <w:r w:rsidR="00337FA1" w:rsidRPr="00FB167E">
        <w:rPr>
          <w:rFonts w:cstheme="majorHAnsi"/>
        </w:rPr>
        <w:t>ese</w:t>
      </w:r>
      <w:r w:rsidRPr="00FB167E">
        <w:rPr>
          <w:rFonts w:cstheme="majorHAnsi"/>
        </w:rPr>
        <w:t xml:space="preserve"> </w:t>
      </w:r>
      <w:r w:rsidR="00F47EB5" w:rsidRPr="00FB167E">
        <w:rPr>
          <w:rFonts w:cstheme="majorHAnsi"/>
        </w:rPr>
        <w:t>G</w:t>
      </w:r>
      <w:r w:rsidR="00157410" w:rsidRPr="00FB167E">
        <w:rPr>
          <w:rFonts w:cstheme="majorHAnsi"/>
        </w:rPr>
        <w:t>uidelines</w:t>
      </w:r>
      <w:r w:rsidRPr="00FB167E">
        <w:rPr>
          <w:rFonts w:cstheme="majorHAnsi"/>
        </w:rPr>
        <w:t xml:space="preserve"> </w:t>
      </w:r>
      <w:r w:rsidR="00337FA1" w:rsidRPr="00FB167E">
        <w:rPr>
          <w:rFonts w:cstheme="majorHAnsi"/>
        </w:rPr>
        <w:t>are</w:t>
      </w:r>
      <w:r w:rsidRPr="00FB167E">
        <w:rPr>
          <w:rFonts w:cstheme="majorHAnsi"/>
        </w:rPr>
        <w:t xml:space="preserve"> not legal advice. People who have experienced sexual harassment or made a workplace sexual harassment </w:t>
      </w:r>
      <w:r w:rsidR="0009574B" w:rsidRPr="00FB167E">
        <w:rPr>
          <w:rFonts w:cstheme="majorHAnsi"/>
        </w:rPr>
        <w:t>complaint</w:t>
      </w:r>
      <w:r w:rsidRPr="00FB167E">
        <w:rPr>
          <w:rFonts w:cstheme="majorHAnsi"/>
        </w:rPr>
        <w:t xml:space="preserve"> </w:t>
      </w:r>
      <w:r w:rsidR="00337FA1" w:rsidRPr="00FB167E">
        <w:rPr>
          <w:rFonts w:cstheme="majorHAnsi"/>
        </w:rPr>
        <w:t xml:space="preserve">and employers </w:t>
      </w:r>
      <w:r w:rsidR="003359AC" w:rsidRPr="00FB167E">
        <w:rPr>
          <w:rFonts w:cstheme="majorHAnsi"/>
        </w:rPr>
        <w:t xml:space="preserve">and others </w:t>
      </w:r>
      <w:r w:rsidR="00337FA1" w:rsidRPr="00FB167E">
        <w:rPr>
          <w:rFonts w:cstheme="majorHAnsi"/>
        </w:rPr>
        <w:t xml:space="preserve">responding to </w:t>
      </w:r>
      <w:r w:rsidR="0009574B" w:rsidRPr="00FB167E">
        <w:rPr>
          <w:rFonts w:cstheme="majorHAnsi"/>
        </w:rPr>
        <w:t>complaints</w:t>
      </w:r>
      <w:r w:rsidR="00337FA1" w:rsidRPr="00FB167E">
        <w:rPr>
          <w:rFonts w:cstheme="majorHAnsi"/>
        </w:rPr>
        <w:t xml:space="preserve"> of workplace sexual harassment </w:t>
      </w:r>
      <w:r w:rsidRPr="00FB167E">
        <w:rPr>
          <w:rFonts w:cstheme="majorHAnsi"/>
        </w:rPr>
        <w:t xml:space="preserve">may wish to seek independent advice about how to best resolve </w:t>
      </w:r>
      <w:r w:rsidR="00C76413" w:rsidRPr="00FB167E">
        <w:rPr>
          <w:rFonts w:cstheme="majorHAnsi"/>
        </w:rPr>
        <w:t>the matter</w:t>
      </w:r>
      <w:r w:rsidR="00337FA1" w:rsidRPr="00FB167E">
        <w:rPr>
          <w:rFonts w:cstheme="majorHAnsi"/>
        </w:rPr>
        <w:t>.</w:t>
      </w:r>
    </w:p>
    <w:p w14:paraId="72CEEC67" w14:textId="6BAC0D62" w:rsidR="00C427B6" w:rsidRPr="00501A45" w:rsidRDefault="00C427B6" w:rsidP="00F70BBF">
      <w:pPr>
        <w:pStyle w:val="Heading2"/>
      </w:pPr>
      <w:bookmarkStart w:id="4" w:name="_Toc103854127"/>
      <w:r w:rsidRPr="00501A45">
        <w:t xml:space="preserve">What </w:t>
      </w:r>
      <w:r w:rsidR="00C57813" w:rsidRPr="00501A45">
        <w:t>are</w:t>
      </w:r>
      <w:r w:rsidRPr="00501A45">
        <w:t xml:space="preserve"> </w:t>
      </w:r>
      <w:r w:rsidR="00A6678F" w:rsidRPr="00501A45">
        <w:t xml:space="preserve">confidentiality </w:t>
      </w:r>
      <w:r w:rsidR="00C57813" w:rsidRPr="00501A45">
        <w:t>clauses</w:t>
      </w:r>
      <w:r w:rsidRPr="00501A45">
        <w:t>?</w:t>
      </w:r>
      <w:bookmarkEnd w:id="4"/>
    </w:p>
    <w:p w14:paraId="28BC07DD" w14:textId="23DA7720" w:rsidR="00FA2B5A" w:rsidRPr="00FB167E" w:rsidRDefault="00FA2B5A" w:rsidP="00F70BBF">
      <w:pPr>
        <w:ind w:right="56"/>
        <w:rPr>
          <w:rFonts w:ascii="Calibri Light" w:hAnsi="Calibri Light" w:cs="Calibri Light"/>
        </w:rPr>
      </w:pPr>
      <w:r w:rsidRPr="00FB167E">
        <w:rPr>
          <w:rFonts w:ascii="Calibri Light" w:hAnsi="Calibri Light" w:cs="Calibri Light"/>
        </w:rPr>
        <w:t xml:space="preserve">A confidentiality clause refers to a </w:t>
      </w:r>
      <w:r w:rsidR="004001B2">
        <w:rPr>
          <w:rFonts w:ascii="Calibri Light" w:hAnsi="Calibri Light" w:cs="Calibri Light"/>
        </w:rPr>
        <w:t>section</w:t>
      </w:r>
      <w:r w:rsidR="004001B2" w:rsidRPr="00FB167E">
        <w:rPr>
          <w:rFonts w:ascii="Calibri Light" w:hAnsi="Calibri Light" w:cs="Calibri Light"/>
        </w:rPr>
        <w:t xml:space="preserve"> </w:t>
      </w:r>
      <w:r w:rsidRPr="00FB167E">
        <w:rPr>
          <w:rFonts w:ascii="Calibri Light" w:hAnsi="Calibri Light" w:cs="Calibri Light"/>
        </w:rPr>
        <w:t xml:space="preserve">within a settlement agreement that requires particular details to be kept confidential as part of reaching a settlement. </w:t>
      </w:r>
    </w:p>
    <w:p w14:paraId="0750318B" w14:textId="1C73DF8F" w:rsidR="00C427B6" w:rsidRPr="00FB167E" w:rsidRDefault="005C127C" w:rsidP="00790E41">
      <w:pPr>
        <w:ind w:right="56"/>
        <w:rPr>
          <w:rFonts w:cstheme="majorHAnsi"/>
        </w:rPr>
      </w:pPr>
      <w:r w:rsidRPr="00FB167E">
        <w:rPr>
          <w:rFonts w:cstheme="majorHAnsi"/>
        </w:rPr>
        <w:t>Historically</w:t>
      </w:r>
      <w:r w:rsidR="00FA2B5A" w:rsidRPr="00FB167E">
        <w:rPr>
          <w:rFonts w:cstheme="majorHAnsi"/>
        </w:rPr>
        <w:t>,</w:t>
      </w:r>
      <w:r w:rsidRPr="00FB167E">
        <w:rPr>
          <w:rFonts w:cstheme="majorHAnsi"/>
        </w:rPr>
        <w:t xml:space="preserve"> it has been common for </w:t>
      </w:r>
      <w:r w:rsidR="00AA5F69" w:rsidRPr="00FB167E">
        <w:rPr>
          <w:rFonts w:cstheme="majorHAnsi"/>
        </w:rPr>
        <w:t xml:space="preserve">settlement </w:t>
      </w:r>
      <w:r w:rsidR="00FA2B5A" w:rsidRPr="00FB167E">
        <w:rPr>
          <w:rFonts w:cstheme="majorHAnsi"/>
        </w:rPr>
        <w:t xml:space="preserve">agreements </w:t>
      </w:r>
      <w:r w:rsidRPr="00FB167E">
        <w:rPr>
          <w:rFonts w:cstheme="majorHAnsi"/>
        </w:rPr>
        <w:t>to contain a</w:t>
      </w:r>
      <w:r w:rsidR="007D6A7A" w:rsidRPr="00FB167E">
        <w:rPr>
          <w:rFonts w:cstheme="majorHAnsi"/>
        </w:rPr>
        <w:t xml:space="preserve"> confidentiality</w:t>
      </w:r>
      <w:r w:rsidRPr="00FB167E">
        <w:rPr>
          <w:rFonts w:cstheme="majorHAnsi"/>
        </w:rPr>
        <w:t xml:space="preserve"> clause which binds all parties to </w:t>
      </w:r>
      <w:r w:rsidR="00523640" w:rsidRPr="00FB167E">
        <w:rPr>
          <w:rFonts w:cstheme="majorHAnsi"/>
        </w:rPr>
        <w:t>maintain confidentiality</w:t>
      </w:r>
      <w:r w:rsidR="00C57813" w:rsidRPr="00FB167E">
        <w:rPr>
          <w:rFonts w:cstheme="majorHAnsi"/>
        </w:rPr>
        <w:t xml:space="preserve"> </w:t>
      </w:r>
      <w:r w:rsidR="00523640" w:rsidRPr="00FB167E">
        <w:rPr>
          <w:rFonts w:cstheme="majorHAnsi"/>
        </w:rPr>
        <w:t xml:space="preserve">on </w:t>
      </w:r>
      <w:r w:rsidR="00C57813" w:rsidRPr="00FB167E">
        <w:rPr>
          <w:rFonts w:cstheme="majorHAnsi"/>
        </w:rPr>
        <w:t xml:space="preserve">the complaint </w:t>
      </w:r>
      <w:r w:rsidR="00523640" w:rsidRPr="00FB167E">
        <w:rPr>
          <w:rFonts w:cstheme="majorHAnsi"/>
        </w:rPr>
        <w:t>and the settlement process</w:t>
      </w:r>
      <w:r w:rsidR="00AA5F69" w:rsidRPr="00FB167E">
        <w:rPr>
          <w:rFonts w:cstheme="majorHAnsi"/>
        </w:rPr>
        <w:t>. H</w:t>
      </w:r>
      <w:r w:rsidR="00FC2059" w:rsidRPr="00FB167E">
        <w:rPr>
          <w:rFonts w:cstheme="majorHAnsi"/>
        </w:rPr>
        <w:t>owever</w:t>
      </w:r>
      <w:r w:rsidR="00AA5F69" w:rsidRPr="00FB167E">
        <w:rPr>
          <w:rFonts w:cstheme="majorHAnsi"/>
        </w:rPr>
        <w:t>,</w:t>
      </w:r>
      <w:r w:rsidR="00FC2059" w:rsidRPr="00FB167E">
        <w:rPr>
          <w:rFonts w:cstheme="majorHAnsi"/>
        </w:rPr>
        <w:t xml:space="preserve"> there is no legal </w:t>
      </w:r>
      <w:r w:rsidR="009838B5">
        <w:rPr>
          <w:rFonts w:cstheme="majorHAnsi"/>
        </w:rPr>
        <w:t>requirement</w:t>
      </w:r>
      <w:r w:rsidR="009838B5" w:rsidRPr="00FB167E">
        <w:rPr>
          <w:rFonts w:cstheme="majorHAnsi"/>
        </w:rPr>
        <w:t xml:space="preserve"> </w:t>
      </w:r>
      <w:r w:rsidR="00FC2059" w:rsidRPr="00FB167E">
        <w:rPr>
          <w:rFonts w:cstheme="majorHAnsi"/>
        </w:rPr>
        <w:t xml:space="preserve">for confidentiality to be a term of </w:t>
      </w:r>
      <w:r w:rsidR="00AA5F69" w:rsidRPr="00FB167E">
        <w:rPr>
          <w:rFonts w:cstheme="majorHAnsi"/>
        </w:rPr>
        <w:t>settlement agreements</w:t>
      </w:r>
      <w:r w:rsidR="00A90E61" w:rsidRPr="00FB167E">
        <w:rPr>
          <w:rFonts w:cstheme="majorHAnsi"/>
        </w:rPr>
        <w:t>.</w:t>
      </w:r>
      <w:r w:rsidR="00166E5F" w:rsidRPr="00FB167E">
        <w:rPr>
          <w:rFonts w:cstheme="majorHAnsi"/>
        </w:rPr>
        <w:t xml:space="preserve"> </w:t>
      </w:r>
    </w:p>
    <w:p w14:paraId="2A895A5E" w14:textId="02E9EB72" w:rsidR="00581D69" w:rsidRPr="00FB167E" w:rsidRDefault="004001B2" w:rsidP="00790E41">
      <w:pPr>
        <w:ind w:right="56"/>
        <w:rPr>
          <w:rFonts w:cstheme="majorHAnsi"/>
        </w:rPr>
      </w:pPr>
      <w:r>
        <w:rPr>
          <w:rFonts w:cstheme="majorHAnsi"/>
        </w:rPr>
        <w:t>A c</w:t>
      </w:r>
      <w:r w:rsidR="00581D69" w:rsidRPr="00FB167E">
        <w:rPr>
          <w:rFonts w:cstheme="majorHAnsi"/>
        </w:rPr>
        <w:t xml:space="preserve">onfidentiality </w:t>
      </w:r>
      <w:r>
        <w:rPr>
          <w:rFonts w:cstheme="majorHAnsi"/>
        </w:rPr>
        <w:t xml:space="preserve">clause </w:t>
      </w:r>
      <w:r w:rsidR="009F6D53" w:rsidRPr="00FB167E">
        <w:rPr>
          <w:rFonts w:cstheme="majorHAnsi"/>
        </w:rPr>
        <w:t xml:space="preserve">may be requested by </w:t>
      </w:r>
      <w:r w:rsidR="00F51714" w:rsidRPr="00FB167E">
        <w:rPr>
          <w:rFonts w:cstheme="majorHAnsi"/>
        </w:rPr>
        <w:t xml:space="preserve">the </w:t>
      </w:r>
      <w:r w:rsidR="00807956" w:rsidRPr="00FB167E">
        <w:rPr>
          <w:rFonts w:cstheme="majorHAnsi"/>
        </w:rPr>
        <w:t>person who made the allegation</w:t>
      </w:r>
      <w:r w:rsidR="009F6D53" w:rsidRPr="00FB167E">
        <w:rPr>
          <w:rFonts w:cstheme="majorHAnsi"/>
        </w:rPr>
        <w:t xml:space="preserve"> </w:t>
      </w:r>
      <w:r w:rsidR="0033280C" w:rsidRPr="00FB167E">
        <w:rPr>
          <w:rFonts w:cstheme="majorHAnsi"/>
        </w:rPr>
        <w:t>who may</w:t>
      </w:r>
      <w:r w:rsidR="009F6D53" w:rsidRPr="00FB167E">
        <w:rPr>
          <w:rFonts w:cstheme="majorHAnsi"/>
        </w:rPr>
        <w:t xml:space="preserve"> not want details disclosed</w:t>
      </w:r>
      <w:r w:rsidR="00F51714" w:rsidRPr="00FB167E">
        <w:rPr>
          <w:rFonts w:cstheme="majorHAnsi"/>
        </w:rPr>
        <w:t>.</w:t>
      </w:r>
      <w:r w:rsidR="009F6D53" w:rsidRPr="00FB167E">
        <w:rPr>
          <w:rFonts w:cstheme="majorHAnsi"/>
        </w:rPr>
        <w:t xml:space="preserve"> </w:t>
      </w:r>
      <w:r w:rsidR="00F51714" w:rsidRPr="00FB167E">
        <w:rPr>
          <w:rFonts w:cstheme="majorHAnsi"/>
        </w:rPr>
        <w:t>As</w:t>
      </w:r>
      <w:r w:rsidR="009F6D53" w:rsidRPr="00FB167E">
        <w:rPr>
          <w:rFonts w:cstheme="majorHAnsi"/>
        </w:rPr>
        <w:t xml:space="preserve"> the </w:t>
      </w:r>
      <w:r w:rsidR="00964999">
        <w:rPr>
          <w:rFonts w:cstheme="majorHAnsi"/>
        </w:rPr>
        <w:t>National</w:t>
      </w:r>
      <w:r w:rsidR="009F6D53" w:rsidRPr="00FB167E">
        <w:rPr>
          <w:rFonts w:cstheme="majorHAnsi"/>
        </w:rPr>
        <w:t xml:space="preserve"> </w:t>
      </w:r>
      <w:r w:rsidR="00964999">
        <w:rPr>
          <w:rFonts w:cstheme="majorHAnsi"/>
        </w:rPr>
        <w:t>I</w:t>
      </w:r>
      <w:r w:rsidR="009F6D53" w:rsidRPr="00FB167E">
        <w:rPr>
          <w:rFonts w:cstheme="majorHAnsi"/>
        </w:rPr>
        <w:t xml:space="preserve">nquiry heard, </w:t>
      </w:r>
      <w:r w:rsidR="008A61E1" w:rsidRPr="00FB167E">
        <w:rPr>
          <w:rFonts w:cstheme="majorHAnsi"/>
        </w:rPr>
        <w:t xml:space="preserve">many </w:t>
      </w:r>
      <w:r>
        <w:rPr>
          <w:rFonts w:cstheme="majorHAnsi"/>
        </w:rPr>
        <w:t>confidentiality clauses</w:t>
      </w:r>
      <w:r w:rsidR="009F6D53" w:rsidRPr="00FB167E">
        <w:rPr>
          <w:rFonts w:cstheme="majorHAnsi"/>
        </w:rPr>
        <w:t xml:space="preserve"> are</w:t>
      </w:r>
      <w:r w:rsidR="0033280C" w:rsidRPr="00FB167E">
        <w:rPr>
          <w:rFonts w:cstheme="majorHAnsi"/>
        </w:rPr>
        <w:t xml:space="preserve"> </w:t>
      </w:r>
      <w:r w:rsidR="009F6D53" w:rsidRPr="00FB167E">
        <w:rPr>
          <w:rFonts w:cstheme="majorHAnsi"/>
        </w:rPr>
        <w:t xml:space="preserve">requested by the </w:t>
      </w:r>
      <w:r w:rsidR="007D3EB1" w:rsidRPr="00FB167E">
        <w:rPr>
          <w:rFonts w:cstheme="majorHAnsi"/>
        </w:rPr>
        <w:t>employer</w:t>
      </w:r>
      <w:r w:rsidR="00776D45" w:rsidRPr="00FB167E">
        <w:rPr>
          <w:rFonts w:cstheme="majorHAnsi"/>
        </w:rPr>
        <w:t xml:space="preserve"> as part of a negotiated resolution</w:t>
      </w:r>
      <w:r w:rsidR="0033280C" w:rsidRPr="00FB167E">
        <w:rPr>
          <w:rFonts w:cstheme="majorHAnsi"/>
        </w:rPr>
        <w:t>, which</w:t>
      </w:r>
      <w:r w:rsidR="00581D69" w:rsidRPr="00FB167E">
        <w:rPr>
          <w:rFonts w:cstheme="majorHAnsi"/>
        </w:rPr>
        <w:t xml:space="preserve"> mean</w:t>
      </w:r>
      <w:r w:rsidR="0033280C" w:rsidRPr="00FB167E">
        <w:rPr>
          <w:rFonts w:cstheme="majorHAnsi"/>
        </w:rPr>
        <w:t>s</w:t>
      </w:r>
      <w:r w:rsidR="00581D69" w:rsidRPr="00FB167E">
        <w:rPr>
          <w:rFonts w:cstheme="majorHAnsi"/>
        </w:rPr>
        <w:t xml:space="preserve"> the person </w:t>
      </w:r>
      <w:r w:rsidR="00AA5F69" w:rsidRPr="00FB167E">
        <w:rPr>
          <w:rFonts w:cstheme="majorHAnsi"/>
        </w:rPr>
        <w:t xml:space="preserve">who made the allegation </w:t>
      </w:r>
      <w:r w:rsidR="00581D69" w:rsidRPr="00FB167E">
        <w:rPr>
          <w:rFonts w:cstheme="majorHAnsi"/>
        </w:rPr>
        <w:t>will agree to give up their right to take further action, and to</w:t>
      </w:r>
      <w:r w:rsidR="0033280C" w:rsidRPr="00FB167E">
        <w:rPr>
          <w:rFonts w:cstheme="majorHAnsi"/>
        </w:rPr>
        <w:t xml:space="preserve"> </w:t>
      </w:r>
      <w:r w:rsidR="00EB2747" w:rsidRPr="00FB167E">
        <w:rPr>
          <w:rFonts w:cstheme="majorHAnsi"/>
        </w:rPr>
        <w:t xml:space="preserve">keep confidential </w:t>
      </w:r>
      <w:r w:rsidR="00581D69" w:rsidRPr="00FB167E">
        <w:rPr>
          <w:rFonts w:cstheme="majorHAnsi"/>
        </w:rPr>
        <w:t xml:space="preserve">information about the sexual harassment </w:t>
      </w:r>
      <w:r w:rsidR="0009574B" w:rsidRPr="00FB167E">
        <w:rPr>
          <w:rFonts w:cstheme="majorHAnsi"/>
        </w:rPr>
        <w:t>complaint</w:t>
      </w:r>
      <w:r w:rsidR="00581D69" w:rsidRPr="00FB167E">
        <w:rPr>
          <w:rFonts w:cstheme="majorHAnsi"/>
        </w:rPr>
        <w:t xml:space="preserve"> in exchange for an agreed outcome</w:t>
      </w:r>
      <w:r w:rsidR="00F51714" w:rsidRPr="00FB167E">
        <w:rPr>
          <w:rFonts w:cstheme="majorHAnsi"/>
        </w:rPr>
        <w:t>. This may include</w:t>
      </w:r>
      <w:r w:rsidR="009F6D53" w:rsidRPr="00FB167E">
        <w:rPr>
          <w:rFonts w:cstheme="majorHAnsi"/>
        </w:rPr>
        <w:t xml:space="preserve"> a </w:t>
      </w:r>
      <w:r w:rsidR="00581D69" w:rsidRPr="00FB167E">
        <w:rPr>
          <w:rFonts w:cstheme="majorHAnsi"/>
        </w:rPr>
        <w:t xml:space="preserve">payment, an apology, or </w:t>
      </w:r>
      <w:r w:rsidR="0033280C" w:rsidRPr="00FB167E">
        <w:rPr>
          <w:rFonts w:cstheme="majorHAnsi"/>
        </w:rPr>
        <w:t>an</w:t>
      </w:r>
      <w:r w:rsidR="00581D69" w:rsidRPr="00FB167E">
        <w:rPr>
          <w:rFonts w:cstheme="majorHAnsi"/>
        </w:rPr>
        <w:t>other action</w:t>
      </w:r>
      <w:r w:rsidR="0033280C" w:rsidRPr="00FB167E">
        <w:rPr>
          <w:rFonts w:cstheme="majorHAnsi"/>
        </w:rPr>
        <w:t xml:space="preserve"> the employer will take,</w:t>
      </w:r>
      <w:r w:rsidR="00581D69" w:rsidRPr="00FB167E">
        <w:rPr>
          <w:rFonts w:cstheme="majorHAnsi"/>
        </w:rPr>
        <w:t xml:space="preserve"> such as </w:t>
      </w:r>
      <w:r w:rsidR="00B9133B">
        <w:rPr>
          <w:rFonts w:cstheme="majorHAnsi"/>
        </w:rPr>
        <w:t xml:space="preserve">introducing or improving </w:t>
      </w:r>
      <w:r w:rsidR="0033280C" w:rsidRPr="00FB167E">
        <w:rPr>
          <w:rFonts w:cstheme="majorHAnsi"/>
        </w:rPr>
        <w:t xml:space="preserve">sexual harassment </w:t>
      </w:r>
      <w:r w:rsidR="00581D69" w:rsidRPr="00FB167E">
        <w:rPr>
          <w:rFonts w:cstheme="majorHAnsi"/>
        </w:rPr>
        <w:t>training in the organisation.</w:t>
      </w:r>
    </w:p>
    <w:p w14:paraId="725C9CD1" w14:textId="2454409A" w:rsidR="008F6D26" w:rsidRPr="00FB167E" w:rsidRDefault="0066542A" w:rsidP="00061BA1">
      <w:pPr>
        <w:ind w:right="56"/>
        <w:rPr>
          <w:rFonts w:cstheme="majorHAnsi"/>
        </w:rPr>
      </w:pPr>
      <w:r w:rsidRPr="00FB167E">
        <w:rPr>
          <w:rFonts w:cstheme="majorHAnsi"/>
        </w:rPr>
        <w:t>S</w:t>
      </w:r>
      <w:r w:rsidR="0033280C" w:rsidRPr="00FB167E">
        <w:rPr>
          <w:rFonts w:cstheme="majorHAnsi"/>
        </w:rPr>
        <w:t>ettlement agreement</w:t>
      </w:r>
      <w:r w:rsidRPr="00FB167E">
        <w:rPr>
          <w:rFonts w:cstheme="majorHAnsi"/>
        </w:rPr>
        <w:t>s</w:t>
      </w:r>
      <w:r w:rsidR="0033280C" w:rsidRPr="00FB167E">
        <w:rPr>
          <w:rFonts w:cstheme="majorHAnsi"/>
        </w:rPr>
        <w:t xml:space="preserve"> containing confidentiality</w:t>
      </w:r>
      <w:r w:rsidR="00A6678F" w:rsidRPr="00FB167E">
        <w:rPr>
          <w:rFonts w:cstheme="majorHAnsi"/>
        </w:rPr>
        <w:t xml:space="preserve"> </w:t>
      </w:r>
      <w:r w:rsidR="0033280C" w:rsidRPr="00FB167E">
        <w:rPr>
          <w:rFonts w:cstheme="majorHAnsi"/>
        </w:rPr>
        <w:t>clauses</w:t>
      </w:r>
      <w:r w:rsidR="00A6678F" w:rsidRPr="00FB167E">
        <w:rPr>
          <w:rFonts w:cstheme="majorHAnsi"/>
        </w:rPr>
        <w:t xml:space="preserve"> </w:t>
      </w:r>
      <w:r w:rsidR="00C427B6" w:rsidRPr="00FB167E">
        <w:rPr>
          <w:rFonts w:cstheme="majorHAnsi"/>
        </w:rPr>
        <w:t>can be helpful</w:t>
      </w:r>
      <w:r w:rsidR="00166E5F" w:rsidRPr="00FB167E">
        <w:rPr>
          <w:rFonts w:cstheme="majorHAnsi"/>
        </w:rPr>
        <w:t xml:space="preserve"> because they</w:t>
      </w:r>
      <w:r w:rsidR="003C307F">
        <w:rPr>
          <w:rFonts w:cstheme="majorHAnsi"/>
        </w:rPr>
        <w:t xml:space="preserve"> can</w:t>
      </w:r>
      <w:r w:rsidR="00166E5F" w:rsidRPr="00FB167E">
        <w:rPr>
          <w:rFonts w:cstheme="majorHAnsi"/>
        </w:rPr>
        <w:t xml:space="preserve"> allow parties to </w:t>
      </w:r>
      <w:r w:rsidR="00500E3A" w:rsidRPr="00FB167E">
        <w:rPr>
          <w:rFonts w:cstheme="majorHAnsi"/>
        </w:rPr>
        <w:t xml:space="preserve">resolve a </w:t>
      </w:r>
      <w:r w:rsidR="00091053" w:rsidRPr="00FB167E">
        <w:rPr>
          <w:rFonts w:cstheme="majorHAnsi"/>
        </w:rPr>
        <w:t xml:space="preserve">complaint </w:t>
      </w:r>
      <w:r w:rsidR="00F51714" w:rsidRPr="00FB167E">
        <w:rPr>
          <w:rFonts w:cstheme="majorHAnsi"/>
        </w:rPr>
        <w:t xml:space="preserve">quickly and </w:t>
      </w:r>
      <w:r w:rsidR="0033666B" w:rsidRPr="00FB167E">
        <w:rPr>
          <w:rFonts w:cstheme="majorHAnsi"/>
        </w:rPr>
        <w:t>without requiring a full commission, tribunal or court proceeding</w:t>
      </w:r>
      <w:r w:rsidR="00166E5F" w:rsidRPr="00FB167E">
        <w:rPr>
          <w:rFonts w:cstheme="majorHAnsi"/>
        </w:rPr>
        <w:t xml:space="preserve">. </w:t>
      </w:r>
      <w:r w:rsidR="00061BA1" w:rsidRPr="00FB167E">
        <w:rPr>
          <w:rFonts w:cstheme="majorHAnsi"/>
        </w:rPr>
        <w:t xml:space="preserve">This can </w:t>
      </w:r>
      <w:r w:rsidR="00FD1F32" w:rsidRPr="00FB167E">
        <w:rPr>
          <w:rFonts w:cstheme="majorHAnsi"/>
        </w:rPr>
        <w:t xml:space="preserve">give </w:t>
      </w:r>
      <w:r w:rsidR="00061BA1" w:rsidRPr="00FB167E">
        <w:rPr>
          <w:rFonts w:cstheme="majorHAnsi"/>
        </w:rPr>
        <w:t xml:space="preserve">the </w:t>
      </w:r>
      <w:r w:rsidR="00337FA1" w:rsidRPr="00FB167E">
        <w:rPr>
          <w:rFonts w:cstheme="majorHAnsi"/>
        </w:rPr>
        <w:t>p</w:t>
      </w:r>
      <w:r w:rsidR="00061BA1" w:rsidRPr="00FB167E">
        <w:rPr>
          <w:rFonts w:cstheme="majorHAnsi"/>
        </w:rPr>
        <w:t xml:space="preserve">erson who made the allegation greater control over the resolution of their dispute. It can also </w:t>
      </w:r>
      <w:r w:rsidR="00166E5F" w:rsidRPr="00FB167E">
        <w:rPr>
          <w:rFonts w:cstheme="majorHAnsi"/>
        </w:rPr>
        <w:t xml:space="preserve">reduce legal </w:t>
      </w:r>
      <w:r w:rsidR="00500E3A" w:rsidRPr="00FB167E">
        <w:rPr>
          <w:rFonts w:cstheme="majorHAnsi"/>
        </w:rPr>
        <w:t xml:space="preserve">and other </w:t>
      </w:r>
      <w:r w:rsidR="00166E5F" w:rsidRPr="00FB167E">
        <w:rPr>
          <w:rFonts w:cstheme="majorHAnsi"/>
        </w:rPr>
        <w:t>costs</w:t>
      </w:r>
      <w:r w:rsidR="00061BA1" w:rsidRPr="00FB167E">
        <w:rPr>
          <w:rFonts w:cstheme="majorHAnsi"/>
        </w:rPr>
        <w:t xml:space="preserve">. </w:t>
      </w:r>
    </w:p>
    <w:p w14:paraId="56C1FDC4" w14:textId="34465FD9" w:rsidR="00A70BD1" w:rsidRPr="00501A45" w:rsidRDefault="005B5631" w:rsidP="00F70BBF">
      <w:pPr>
        <w:pStyle w:val="Heading2"/>
      </w:pPr>
      <w:r w:rsidRPr="00501A45">
        <w:lastRenderedPageBreak/>
        <w:t>What can’t confidentiality clauses do?</w:t>
      </w:r>
    </w:p>
    <w:p w14:paraId="792565E8" w14:textId="0643340E" w:rsidR="006522C1" w:rsidRDefault="005B5631" w:rsidP="006522C1">
      <w:pPr>
        <w:ind w:right="56"/>
        <w:rPr>
          <w:rFonts w:cstheme="majorHAnsi"/>
        </w:rPr>
      </w:pPr>
      <w:r w:rsidRPr="00FB167E">
        <w:rPr>
          <w:rFonts w:cstheme="majorHAnsi"/>
        </w:rPr>
        <w:t xml:space="preserve">Confidentiality clauses cannot prevent the disclosure of information in all circumstances, even if they claim to do so. There are </w:t>
      </w:r>
      <w:r w:rsidR="00D659EF">
        <w:rPr>
          <w:rFonts w:cstheme="majorHAnsi"/>
        </w:rPr>
        <w:t xml:space="preserve">some </w:t>
      </w:r>
      <w:r w:rsidRPr="00FB167E">
        <w:rPr>
          <w:rFonts w:cstheme="majorHAnsi"/>
        </w:rPr>
        <w:t xml:space="preserve">legal </w:t>
      </w:r>
      <w:r w:rsidR="00D659EF">
        <w:rPr>
          <w:rFonts w:cstheme="majorHAnsi"/>
        </w:rPr>
        <w:t xml:space="preserve">reasons why </w:t>
      </w:r>
      <w:r w:rsidR="00DA3CB7" w:rsidRPr="00FB167E">
        <w:rPr>
          <w:rFonts w:cstheme="majorHAnsi"/>
        </w:rPr>
        <w:t>a confidentiality clause</w:t>
      </w:r>
      <w:r w:rsidR="00D659EF">
        <w:rPr>
          <w:rFonts w:cstheme="majorHAnsi"/>
        </w:rPr>
        <w:t xml:space="preserve"> will not</w:t>
      </w:r>
      <w:r w:rsidR="00186F3A">
        <w:rPr>
          <w:rFonts w:cstheme="majorHAnsi"/>
        </w:rPr>
        <w:t xml:space="preserve"> </w:t>
      </w:r>
      <w:r w:rsidR="00DA3CB7" w:rsidRPr="00FB167E">
        <w:rPr>
          <w:rFonts w:cstheme="majorHAnsi"/>
        </w:rPr>
        <w:t xml:space="preserve">prevent a person from disclosing </w:t>
      </w:r>
      <w:r w:rsidR="004001B2">
        <w:rPr>
          <w:rFonts w:cstheme="majorHAnsi"/>
        </w:rPr>
        <w:t>information</w:t>
      </w:r>
      <w:r w:rsidR="00DA3CB7" w:rsidRPr="00FB167E">
        <w:rPr>
          <w:rFonts w:cstheme="majorHAnsi"/>
        </w:rPr>
        <w:t xml:space="preserve">. </w:t>
      </w:r>
      <w:r w:rsidR="006522C1">
        <w:rPr>
          <w:rFonts w:cstheme="majorHAnsi"/>
        </w:rPr>
        <w:t xml:space="preserve">For example, a confidentiality clause </w:t>
      </w:r>
      <w:r w:rsidR="00D659EF">
        <w:rPr>
          <w:rFonts w:cstheme="majorHAnsi"/>
        </w:rPr>
        <w:t xml:space="preserve">will not </w:t>
      </w:r>
      <w:r w:rsidR="006522C1">
        <w:rPr>
          <w:rFonts w:cstheme="majorHAnsi"/>
        </w:rPr>
        <w:t xml:space="preserve">prevent a person from: </w:t>
      </w:r>
    </w:p>
    <w:p w14:paraId="2AC35FC2" w14:textId="760F1A62" w:rsidR="006522C1" w:rsidRDefault="006522C1" w:rsidP="00231950">
      <w:pPr>
        <w:pStyle w:val="ListParagraph"/>
        <w:numPr>
          <w:ilvl w:val="0"/>
          <w:numId w:val="25"/>
        </w:numPr>
        <w:ind w:right="56"/>
        <w:rPr>
          <w:rFonts w:cstheme="majorHAnsi"/>
        </w:rPr>
      </w:pPr>
      <w:r>
        <w:rPr>
          <w:rFonts w:cstheme="majorHAnsi"/>
        </w:rPr>
        <w:t>disclosing information</w:t>
      </w:r>
      <w:r w:rsidRPr="002F2A65">
        <w:rPr>
          <w:rFonts w:cstheme="majorHAnsi"/>
        </w:rPr>
        <w:t xml:space="preserve"> </w:t>
      </w:r>
      <w:r w:rsidR="00D659EF">
        <w:rPr>
          <w:rFonts w:cstheme="majorHAnsi"/>
        </w:rPr>
        <w:t xml:space="preserve">because </w:t>
      </w:r>
      <w:r w:rsidRPr="002F2A65">
        <w:rPr>
          <w:rFonts w:cstheme="majorHAnsi"/>
        </w:rPr>
        <w:t>they are compelled to provide the information by law or by Parliament or a Parliamentary Committee</w:t>
      </w:r>
      <w:r w:rsidR="00713C73">
        <w:rPr>
          <w:rFonts w:cstheme="majorHAnsi"/>
        </w:rPr>
        <w:t>;</w:t>
      </w:r>
    </w:p>
    <w:p w14:paraId="243D4D4D" w14:textId="3C742567" w:rsidR="006522C1" w:rsidRDefault="006522C1" w:rsidP="00231950">
      <w:pPr>
        <w:pStyle w:val="ListParagraph"/>
        <w:numPr>
          <w:ilvl w:val="0"/>
          <w:numId w:val="25"/>
        </w:numPr>
        <w:ind w:right="56"/>
        <w:rPr>
          <w:rFonts w:cstheme="majorHAnsi"/>
        </w:rPr>
      </w:pPr>
      <w:r>
        <w:rPr>
          <w:rFonts w:cstheme="majorHAnsi"/>
        </w:rPr>
        <w:t>disclosing information to a law enforcement agency where the person is under an obligation to report an offence</w:t>
      </w:r>
      <w:r w:rsidR="00713C73">
        <w:rPr>
          <w:rFonts w:cstheme="majorHAnsi"/>
        </w:rPr>
        <w:t>;</w:t>
      </w:r>
    </w:p>
    <w:p w14:paraId="5ECB42CF" w14:textId="66F27BDD" w:rsidR="006522C1" w:rsidRPr="002F2A65" w:rsidRDefault="006522C1" w:rsidP="00231950">
      <w:pPr>
        <w:pStyle w:val="ListParagraph"/>
        <w:numPr>
          <w:ilvl w:val="0"/>
          <w:numId w:val="25"/>
        </w:numPr>
        <w:ind w:right="56"/>
        <w:rPr>
          <w:rFonts w:cstheme="majorHAnsi"/>
        </w:rPr>
      </w:pPr>
      <w:r>
        <w:rPr>
          <w:rFonts w:cstheme="majorHAnsi"/>
        </w:rPr>
        <w:t xml:space="preserve">making a protected disclosure under the </w:t>
      </w:r>
      <w:r>
        <w:rPr>
          <w:i/>
          <w:iCs/>
        </w:rPr>
        <w:t>Public Interest Disclosure Act 2013</w:t>
      </w:r>
      <w:r>
        <w:t xml:space="preserve"> (Cth) or other applicable ‘whistle-blower’ legislation</w:t>
      </w:r>
      <w:r w:rsidR="00713C73">
        <w:t>; or</w:t>
      </w:r>
    </w:p>
    <w:p w14:paraId="36CEF61C" w14:textId="1988DB6F" w:rsidR="006522C1" w:rsidRDefault="006522C1" w:rsidP="00231950">
      <w:pPr>
        <w:pStyle w:val="ListParagraph"/>
        <w:numPr>
          <w:ilvl w:val="0"/>
          <w:numId w:val="25"/>
        </w:numPr>
        <w:ind w:right="56"/>
        <w:rPr>
          <w:rFonts w:cstheme="majorHAnsi"/>
        </w:rPr>
      </w:pPr>
      <w:r>
        <w:rPr>
          <w:rFonts w:cstheme="majorHAnsi"/>
        </w:rPr>
        <w:t>answering a subpoena, summons or other compulsory court process.</w:t>
      </w:r>
    </w:p>
    <w:p w14:paraId="65F8E181" w14:textId="6544A498" w:rsidR="007A5ACE" w:rsidRPr="00501A45" w:rsidRDefault="00C6223E" w:rsidP="00F70BBF">
      <w:pPr>
        <w:pStyle w:val="Heading2"/>
      </w:pPr>
      <w:r w:rsidRPr="00501A45">
        <w:t xml:space="preserve">Who are the </w:t>
      </w:r>
      <w:r w:rsidR="00F47EB5" w:rsidRPr="00501A45">
        <w:t>G</w:t>
      </w:r>
      <w:r w:rsidR="00594F14" w:rsidRPr="00501A45">
        <w:t>uidelines for?</w:t>
      </w:r>
    </w:p>
    <w:p w14:paraId="17EFFB24" w14:textId="6CDA4BE2" w:rsidR="00581D69" w:rsidRPr="00FB167E" w:rsidRDefault="00594F14" w:rsidP="00790E41">
      <w:pPr>
        <w:ind w:right="56"/>
        <w:rPr>
          <w:rFonts w:cstheme="majorHAnsi"/>
        </w:rPr>
      </w:pPr>
      <w:r w:rsidRPr="00FB167E">
        <w:rPr>
          <w:rFonts w:cstheme="majorHAnsi"/>
        </w:rPr>
        <w:t xml:space="preserve">These </w:t>
      </w:r>
      <w:r w:rsidR="00F47EB5" w:rsidRPr="00FB167E">
        <w:rPr>
          <w:rFonts w:cstheme="majorHAnsi"/>
        </w:rPr>
        <w:t>G</w:t>
      </w:r>
      <w:r w:rsidRPr="00FB167E">
        <w:rPr>
          <w:rFonts w:cstheme="majorHAnsi"/>
        </w:rPr>
        <w:t>uidelines</w:t>
      </w:r>
      <w:r w:rsidR="00157410" w:rsidRPr="00FB167E">
        <w:rPr>
          <w:rFonts w:cstheme="majorHAnsi"/>
        </w:rPr>
        <w:t xml:space="preserve"> </w:t>
      </w:r>
      <w:r w:rsidR="0002217A" w:rsidRPr="00FB167E">
        <w:rPr>
          <w:rFonts w:cstheme="majorHAnsi"/>
        </w:rPr>
        <w:t xml:space="preserve">can </w:t>
      </w:r>
      <w:r w:rsidR="00FC5C40" w:rsidRPr="00FB167E">
        <w:rPr>
          <w:rFonts w:cstheme="majorHAnsi"/>
        </w:rPr>
        <w:t>assist</w:t>
      </w:r>
      <w:r w:rsidR="0002217A" w:rsidRPr="00FB167E">
        <w:rPr>
          <w:rFonts w:cstheme="majorHAnsi"/>
        </w:rPr>
        <w:t xml:space="preserve"> </w:t>
      </w:r>
      <w:r w:rsidR="00F51714" w:rsidRPr="00FB167E">
        <w:rPr>
          <w:rFonts w:cstheme="majorHAnsi"/>
        </w:rPr>
        <w:t>a person who made the allegation of sexual harassment</w:t>
      </w:r>
      <w:r w:rsidR="0002217A" w:rsidRPr="00FB167E">
        <w:rPr>
          <w:rFonts w:cstheme="majorHAnsi"/>
        </w:rPr>
        <w:t xml:space="preserve">, </w:t>
      </w:r>
      <w:r w:rsidR="00313412" w:rsidRPr="00FB167E">
        <w:rPr>
          <w:rFonts w:cstheme="majorHAnsi"/>
        </w:rPr>
        <w:t>a</w:t>
      </w:r>
      <w:r w:rsidR="00500E3A" w:rsidRPr="00FB167E">
        <w:rPr>
          <w:rFonts w:cstheme="majorHAnsi"/>
        </w:rPr>
        <w:t>s well as</w:t>
      </w:r>
      <w:r w:rsidR="006349A1" w:rsidRPr="00FB167E">
        <w:rPr>
          <w:rFonts w:cstheme="majorHAnsi"/>
        </w:rPr>
        <w:t xml:space="preserve"> employers,</w:t>
      </w:r>
      <w:r w:rsidR="00F51714" w:rsidRPr="00FB167E">
        <w:rPr>
          <w:rFonts w:cstheme="majorHAnsi"/>
        </w:rPr>
        <w:t xml:space="preserve"> alleged harassers,</w:t>
      </w:r>
      <w:r w:rsidR="006349A1" w:rsidRPr="00FB167E">
        <w:rPr>
          <w:rFonts w:cstheme="majorHAnsi"/>
        </w:rPr>
        <w:t xml:space="preserve"> employer</w:t>
      </w:r>
      <w:r w:rsidR="00500E3A" w:rsidRPr="00FB167E">
        <w:rPr>
          <w:rFonts w:cstheme="majorHAnsi"/>
        </w:rPr>
        <w:t xml:space="preserve"> </w:t>
      </w:r>
      <w:r w:rsidR="00B726AF" w:rsidRPr="00FB167E">
        <w:rPr>
          <w:rFonts w:cstheme="majorHAnsi"/>
        </w:rPr>
        <w:t>o</w:t>
      </w:r>
      <w:r w:rsidR="0002217A" w:rsidRPr="00FB167E">
        <w:rPr>
          <w:rFonts w:cstheme="majorHAnsi"/>
        </w:rPr>
        <w:t>rganisations,</w:t>
      </w:r>
      <w:r w:rsidR="00F51714" w:rsidRPr="00FB167E">
        <w:rPr>
          <w:rFonts w:cstheme="majorHAnsi"/>
        </w:rPr>
        <w:t xml:space="preserve"> unions,</w:t>
      </w:r>
      <w:r w:rsidR="0002217A" w:rsidRPr="00FB167E">
        <w:rPr>
          <w:rFonts w:cstheme="majorHAnsi"/>
        </w:rPr>
        <w:t xml:space="preserve"> legal practitioners, mediators, insurers and anyone else involved in the process of </w:t>
      </w:r>
      <w:r w:rsidR="00500E3A" w:rsidRPr="00FB167E">
        <w:rPr>
          <w:rFonts w:cstheme="majorHAnsi"/>
        </w:rPr>
        <w:t>resolving</w:t>
      </w:r>
      <w:r w:rsidR="0002217A" w:rsidRPr="00FB167E">
        <w:rPr>
          <w:rFonts w:cstheme="majorHAnsi"/>
        </w:rPr>
        <w:t xml:space="preserve"> a workplace sexual harassment </w:t>
      </w:r>
      <w:r w:rsidR="0009574B" w:rsidRPr="00FB167E">
        <w:rPr>
          <w:rFonts w:cstheme="majorHAnsi"/>
        </w:rPr>
        <w:t>complaint</w:t>
      </w:r>
      <w:r w:rsidR="0002217A" w:rsidRPr="00FB167E">
        <w:rPr>
          <w:rFonts w:cstheme="majorHAnsi"/>
        </w:rPr>
        <w:t>.</w:t>
      </w:r>
    </w:p>
    <w:p w14:paraId="6C824F6B" w14:textId="307B2BDD" w:rsidR="007A5ACE" w:rsidRPr="00FB167E" w:rsidRDefault="007A5ACE" w:rsidP="00F70BBF">
      <w:pPr>
        <w:pStyle w:val="Heading2"/>
      </w:pPr>
      <w:bookmarkStart w:id="5" w:name="_Toc103854129"/>
      <w:r w:rsidRPr="00501A45">
        <w:t>How</w:t>
      </w:r>
      <w:r w:rsidR="004001B2">
        <w:t xml:space="preserve"> should the </w:t>
      </w:r>
      <w:r w:rsidR="00AA5F69" w:rsidRPr="00FB167E">
        <w:t>Guidelines</w:t>
      </w:r>
      <w:r w:rsidR="004001B2">
        <w:t xml:space="preserve"> be used</w:t>
      </w:r>
      <w:r w:rsidR="00AA5F69" w:rsidRPr="00FB167E">
        <w:t>?</w:t>
      </w:r>
      <w:bookmarkEnd w:id="5"/>
    </w:p>
    <w:p w14:paraId="5E2DB6AD" w14:textId="2FAE6077" w:rsidR="007A5ACE" w:rsidRPr="00FB167E" w:rsidRDefault="004001B2" w:rsidP="00790E41">
      <w:pPr>
        <w:ind w:right="56"/>
        <w:rPr>
          <w:rFonts w:cstheme="majorBidi"/>
        </w:rPr>
      </w:pPr>
      <w:r>
        <w:rPr>
          <w:rFonts w:cstheme="majorBidi"/>
        </w:rPr>
        <w:t>T</w:t>
      </w:r>
      <w:r w:rsidR="005744D2" w:rsidRPr="00FB167E">
        <w:rPr>
          <w:rFonts w:cstheme="majorBidi"/>
        </w:rPr>
        <w:t xml:space="preserve">hese </w:t>
      </w:r>
      <w:r w:rsidR="00F47EB5" w:rsidRPr="00FB167E">
        <w:rPr>
          <w:rFonts w:cstheme="majorBidi"/>
        </w:rPr>
        <w:t>G</w:t>
      </w:r>
      <w:r w:rsidR="005744D2" w:rsidRPr="00FB167E">
        <w:rPr>
          <w:rFonts w:cstheme="majorBidi"/>
        </w:rPr>
        <w:t>uidelines</w:t>
      </w:r>
      <w:r>
        <w:rPr>
          <w:rFonts w:cstheme="majorBidi"/>
        </w:rPr>
        <w:t xml:space="preserve"> may be used</w:t>
      </w:r>
      <w:r w:rsidR="007A5ACE" w:rsidRPr="00FB167E">
        <w:rPr>
          <w:rFonts w:cstheme="majorBidi"/>
        </w:rPr>
        <w:t xml:space="preserve"> throughout the process</w:t>
      </w:r>
      <w:r w:rsidR="00725997" w:rsidRPr="00FB167E">
        <w:rPr>
          <w:rFonts w:cstheme="majorBidi"/>
        </w:rPr>
        <w:t xml:space="preserve"> of</w:t>
      </w:r>
      <w:r w:rsidR="005D4992" w:rsidRPr="00FB167E">
        <w:rPr>
          <w:rFonts w:cstheme="majorBidi"/>
        </w:rPr>
        <w:t xml:space="preserve"> negotiating </w:t>
      </w:r>
      <w:r w:rsidR="00CB305E">
        <w:rPr>
          <w:rFonts w:cstheme="majorBidi"/>
        </w:rPr>
        <w:t>a workplace sexual harassment settlement agreement that contains</w:t>
      </w:r>
      <w:r w:rsidR="00355279" w:rsidRPr="00FB167E">
        <w:rPr>
          <w:rFonts w:cstheme="majorBidi"/>
        </w:rPr>
        <w:t xml:space="preserve"> a </w:t>
      </w:r>
      <w:r w:rsidR="00E81D31" w:rsidRPr="00FB167E">
        <w:rPr>
          <w:rFonts w:cstheme="majorBidi"/>
        </w:rPr>
        <w:t xml:space="preserve">confidentiality clause. </w:t>
      </w:r>
      <w:r w:rsidR="007A5ACE" w:rsidRPr="00FB167E">
        <w:rPr>
          <w:rFonts w:cstheme="majorBidi"/>
        </w:rPr>
        <w:t xml:space="preserve">Read the </w:t>
      </w:r>
      <w:r w:rsidR="00F47EB5" w:rsidRPr="00FB167E">
        <w:rPr>
          <w:rFonts w:cstheme="majorBidi"/>
        </w:rPr>
        <w:t>G</w:t>
      </w:r>
      <w:r w:rsidR="00A6678F" w:rsidRPr="00FB167E">
        <w:rPr>
          <w:rFonts w:cstheme="majorBidi"/>
        </w:rPr>
        <w:t xml:space="preserve">uidelines </w:t>
      </w:r>
      <w:r w:rsidR="007A5ACE" w:rsidRPr="00FB167E">
        <w:rPr>
          <w:rFonts w:cstheme="majorBidi"/>
        </w:rPr>
        <w:t xml:space="preserve">before </w:t>
      </w:r>
      <w:r>
        <w:rPr>
          <w:rFonts w:cstheme="majorBidi"/>
        </w:rPr>
        <w:t>the process</w:t>
      </w:r>
      <w:r w:rsidRPr="00FB167E">
        <w:rPr>
          <w:rFonts w:cstheme="majorBidi"/>
        </w:rPr>
        <w:t xml:space="preserve"> </w:t>
      </w:r>
      <w:r w:rsidR="007A5ACE" w:rsidRPr="00FB167E">
        <w:rPr>
          <w:rFonts w:cstheme="majorBidi"/>
        </w:rPr>
        <w:t>begin</w:t>
      </w:r>
      <w:r>
        <w:rPr>
          <w:rFonts w:cstheme="majorBidi"/>
        </w:rPr>
        <w:t>s</w:t>
      </w:r>
      <w:r w:rsidR="007A5ACE" w:rsidRPr="00FB167E">
        <w:rPr>
          <w:rFonts w:cstheme="majorBidi"/>
        </w:rPr>
        <w:t>, and refer back to them</w:t>
      </w:r>
      <w:r w:rsidR="004B53BF" w:rsidRPr="00FB167E">
        <w:rPr>
          <w:rFonts w:cstheme="majorBidi"/>
        </w:rPr>
        <w:t xml:space="preserve"> </w:t>
      </w:r>
      <w:r w:rsidR="007A5ACE" w:rsidRPr="00FB167E">
        <w:rPr>
          <w:rFonts w:cstheme="majorBidi"/>
        </w:rPr>
        <w:t xml:space="preserve">if </w:t>
      </w:r>
      <w:r>
        <w:rPr>
          <w:rFonts w:cstheme="majorBidi"/>
        </w:rPr>
        <w:t>necessary</w:t>
      </w:r>
      <w:r w:rsidR="007A5ACE" w:rsidRPr="00FB167E">
        <w:rPr>
          <w:rFonts w:cstheme="majorBidi"/>
        </w:rPr>
        <w:t>.</w:t>
      </w:r>
    </w:p>
    <w:p w14:paraId="75990CB2" w14:textId="4FB774FE" w:rsidR="00FC28B0" w:rsidRPr="00FB167E" w:rsidRDefault="00831D53" w:rsidP="002A0809">
      <w:pPr>
        <w:ind w:right="56"/>
      </w:pPr>
      <w:r w:rsidRPr="00FB167E">
        <w:rPr>
          <w:rFonts w:cstheme="majorHAnsi"/>
        </w:rPr>
        <w:t>While t</w:t>
      </w:r>
      <w:r w:rsidR="00C2306C" w:rsidRPr="00FB167E">
        <w:rPr>
          <w:rFonts w:cstheme="majorHAnsi"/>
        </w:rPr>
        <w:t>he</w:t>
      </w:r>
      <w:r w:rsidR="005F3BA5" w:rsidRPr="00FB167E">
        <w:rPr>
          <w:rFonts w:cstheme="majorHAnsi"/>
        </w:rPr>
        <w:t>se</w:t>
      </w:r>
      <w:r w:rsidR="00C2306C" w:rsidRPr="00FB167E">
        <w:rPr>
          <w:rFonts w:cstheme="majorHAnsi"/>
        </w:rPr>
        <w:t xml:space="preserve"> </w:t>
      </w:r>
      <w:r w:rsidR="00F47EB5" w:rsidRPr="00FB167E">
        <w:rPr>
          <w:rFonts w:cstheme="majorHAnsi"/>
        </w:rPr>
        <w:t>G</w:t>
      </w:r>
      <w:r w:rsidR="00C2306C" w:rsidRPr="00FB167E">
        <w:rPr>
          <w:rFonts w:cstheme="majorHAnsi"/>
        </w:rPr>
        <w:t xml:space="preserve">uidelines </w:t>
      </w:r>
      <w:r w:rsidRPr="00FB167E">
        <w:rPr>
          <w:rFonts w:cstheme="majorHAnsi"/>
        </w:rPr>
        <w:t xml:space="preserve">focus on the </w:t>
      </w:r>
      <w:r w:rsidR="00C2306C" w:rsidRPr="00FB167E">
        <w:rPr>
          <w:rFonts w:cstheme="majorHAnsi"/>
        </w:rPr>
        <w:t xml:space="preserve">use </w:t>
      </w:r>
      <w:r w:rsidRPr="00FB167E">
        <w:rPr>
          <w:rFonts w:cstheme="majorHAnsi"/>
        </w:rPr>
        <w:t xml:space="preserve">of </w:t>
      </w:r>
      <w:r w:rsidR="00C2306C" w:rsidRPr="00FB167E">
        <w:rPr>
          <w:rFonts w:cstheme="majorHAnsi"/>
        </w:rPr>
        <w:t xml:space="preserve">confidentiality clauses </w:t>
      </w:r>
      <w:r w:rsidR="005F3BA5" w:rsidRPr="00FB167E">
        <w:rPr>
          <w:rFonts w:cstheme="majorHAnsi"/>
        </w:rPr>
        <w:t>in settlement agreements (and the process for negotiating a settlement agreement containing a confidentiality clause)</w:t>
      </w:r>
      <w:r w:rsidR="00C2306C" w:rsidRPr="00FB167E">
        <w:rPr>
          <w:rFonts w:cstheme="majorHAnsi"/>
        </w:rPr>
        <w:t xml:space="preserve">, </w:t>
      </w:r>
      <w:r w:rsidRPr="00FB167E">
        <w:rPr>
          <w:rFonts w:cstheme="majorHAnsi"/>
        </w:rPr>
        <w:t>they may also help inform the development of</w:t>
      </w:r>
      <w:r w:rsidR="00C2306C" w:rsidRPr="00FB167E">
        <w:rPr>
          <w:rFonts w:cstheme="majorHAnsi"/>
        </w:rPr>
        <w:t xml:space="preserve"> </w:t>
      </w:r>
      <w:r w:rsidR="00713C73">
        <w:rPr>
          <w:rFonts w:cstheme="majorHAnsi"/>
        </w:rPr>
        <w:t>organisational responses</w:t>
      </w:r>
      <w:r w:rsidR="00C2306C" w:rsidRPr="00FB167E">
        <w:rPr>
          <w:rFonts w:cstheme="majorHAnsi"/>
        </w:rPr>
        <w:t xml:space="preserve"> to </w:t>
      </w:r>
      <w:r w:rsidRPr="00FB167E">
        <w:rPr>
          <w:rFonts w:cstheme="majorHAnsi"/>
        </w:rPr>
        <w:t xml:space="preserve">sexual harassment complaints more broadly, including </w:t>
      </w:r>
      <w:r w:rsidR="00C2306C" w:rsidRPr="00FB167E">
        <w:rPr>
          <w:rFonts w:cstheme="majorHAnsi"/>
        </w:rPr>
        <w:t xml:space="preserve">investigations </w:t>
      </w:r>
      <w:r w:rsidRPr="00FB167E">
        <w:rPr>
          <w:rFonts w:cstheme="majorHAnsi"/>
        </w:rPr>
        <w:t>in response to a complaint</w:t>
      </w:r>
      <w:r w:rsidR="00B73AA8" w:rsidRPr="00FB167E">
        <w:rPr>
          <w:rFonts w:cstheme="majorHAnsi"/>
        </w:rPr>
        <w:t>.</w:t>
      </w:r>
      <w:r w:rsidR="00C2306C" w:rsidRPr="00FB167E">
        <w:rPr>
          <w:rFonts w:cstheme="majorHAnsi"/>
        </w:rPr>
        <w:t xml:space="preserve"> </w:t>
      </w:r>
      <w:r w:rsidR="005F3BA5" w:rsidRPr="00FB167E">
        <w:rPr>
          <w:rFonts w:cstheme="majorHAnsi"/>
        </w:rPr>
        <w:t xml:space="preserve">As such, </w:t>
      </w:r>
      <w:r w:rsidR="00F76436" w:rsidRPr="00FB167E">
        <w:rPr>
          <w:rFonts w:cstheme="majorHAnsi"/>
        </w:rPr>
        <w:t xml:space="preserve">organisations </w:t>
      </w:r>
      <w:r w:rsidR="00FC5C40" w:rsidRPr="00FB167E">
        <w:rPr>
          <w:rFonts w:cstheme="majorHAnsi"/>
        </w:rPr>
        <w:t xml:space="preserve">are encouraged to </w:t>
      </w:r>
      <w:r w:rsidR="00663C48" w:rsidRPr="00FB167E">
        <w:rPr>
          <w:rFonts w:cstheme="majorHAnsi"/>
        </w:rPr>
        <w:t>consider how</w:t>
      </w:r>
      <w:r w:rsidR="00F76436" w:rsidRPr="00FB167E">
        <w:rPr>
          <w:rFonts w:cstheme="majorHAnsi"/>
        </w:rPr>
        <w:t xml:space="preserve"> </w:t>
      </w:r>
      <w:r w:rsidR="004001B2">
        <w:rPr>
          <w:rFonts w:cstheme="majorHAnsi"/>
        </w:rPr>
        <w:t>the recommended approach</w:t>
      </w:r>
      <w:r w:rsidR="00663C48" w:rsidRPr="00FB167E">
        <w:rPr>
          <w:rFonts w:cstheme="majorHAnsi"/>
        </w:rPr>
        <w:t xml:space="preserve"> cou</w:t>
      </w:r>
      <w:r w:rsidR="00E34902" w:rsidRPr="00FB167E">
        <w:rPr>
          <w:rFonts w:cstheme="majorHAnsi"/>
        </w:rPr>
        <w:t>l</w:t>
      </w:r>
      <w:r w:rsidR="00663C48" w:rsidRPr="00FB167E">
        <w:rPr>
          <w:rFonts w:cstheme="majorHAnsi"/>
        </w:rPr>
        <w:t xml:space="preserve">d apply to their </w:t>
      </w:r>
      <w:r w:rsidR="00F76436" w:rsidRPr="00FB167E">
        <w:rPr>
          <w:rFonts w:cstheme="majorHAnsi"/>
        </w:rPr>
        <w:t>internal complaint management</w:t>
      </w:r>
      <w:r w:rsidR="00663C48" w:rsidRPr="00FB167E">
        <w:rPr>
          <w:rFonts w:cstheme="majorHAnsi"/>
        </w:rPr>
        <w:t xml:space="preserve"> processes</w:t>
      </w:r>
      <w:r w:rsidR="00C2306C" w:rsidRPr="00FB167E">
        <w:rPr>
          <w:rFonts w:cstheme="majorHAnsi"/>
        </w:rPr>
        <w:t>.</w:t>
      </w:r>
    </w:p>
    <w:p w14:paraId="7CD12238" w14:textId="77777777" w:rsidR="00E34902" w:rsidRPr="00501A45" w:rsidRDefault="00E34902" w:rsidP="00E34902">
      <w:pPr>
        <w:pStyle w:val="Heading2"/>
      </w:pPr>
      <w:r w:rsidRPr="00501A45">
        <w:t>A note on non-disparagement clauses</w:t>
      </w:r>
    </w:p>
    <w:p w14:paraId="015E7077" w14:textId="5FBDF79D" w:rsidR="00B22210" w:rsidRDefault="00E34902" w:rsidP="00E34902">
      <w:pPr>
        <w:ind w:right="56"/>
        <w:rPr>
          <w:rFonts w:ascii="Calibri Light" w:hAnsi="Calibri Light" w:cs="Calibri Light"/>
        </w:rPr>
      </w:pPr>
      <w:r w:rsidRPr="00FB167E">
        <w:rPr>
          <w:rFonts w:ascii="Calibri Light" w:hAnsi="Calibri Light" w:cs="Calibri Light"/>
        </w:rPr>
        <w:t>A</w:t>
      </w:r>
      <w:r w:rsidR="00AB0DE4">
        <w:rPr>
          <w:rFonts w:ascii="Calibri Light" w:hAnsi="Calibri Light" w:cs="Calibri Light"/>
        </w:rPr>
        <w:t>nother common feature of settlement agreements is a</w:t>
      </w:r>
      <w:r w:rsidRPr="00FB167E">
        <w:rPr>
          <w:rFonts w:ascii="Calibri Light" w:hAnsi="Calibri Light" w:cs="Calibri Light"/>
        </w:rPr>
        <w:t xml:space="preserve"> non-disparagement clause</w:t>
      </w:r>
      <w:r w:rsidR="00AB0DE4">
        <w:rPr>
          <w:rFonts w:ascii="Calibri Light" w:hAnsi="Calibri Light" w:cs="Calibri Light"/>
        </w:rPr>
        <w:t xml:space="preserve">. This usually </w:t>
      </w:r>
      <w:r w:rsidRPr="00FB167E">
        <w:rPr>
          <w:rFonts w:ascii="Calibri Light" w:hAnsi="Calibri Light" w:cs="Calibri Light"/>
        </w:rPr>
        <w:t>require</w:t>
      </w:r>
      <w:r w:rsidR="004001B2">
        <w:rPr>
          <w:rFonts w:ascii="Calibri Light" w:hAnsi="Calibri Light" w:cs="Calibri Light"/>
        </w:rPr>
        <w:t>s</w:t>
      </w:r>
      <w:r w:rsidRPr="00FB167E">
        <w:rPr>
          <w:rFonts w:ascii="Calibri Light" w:hAnsi="Calibri Light" w:cs="Calibri Light"/>
        </w:rPr>
        <w:t xml:space="preserve"> the parties to the </w:t>
      </w:r>
      <w:r w:rsidR="00AB0DE4">
        <w:rPr>
          <w:rFonts w:ascii="Calibri Light" w:hAnsi="Calibri Light" w:cs="Calibri Light"/>
        </w:rPr>
        <w:t xml:space="preserve">settlement </w:t>
      </w:r>
      <w:r w:rsidRPr="00FB167E">
        <w:rPr>
          <w:rFonts w:ascii="Calibri Light" w:hAnsi="Calibri Light" w:cs="Calibri Light"/>
        </w:rPr>
        <w:t xml:space="preserve">agreement </w:t>
      </w:r>
      <w:r w:rsidR="009838B5">
        <w:rPr>
          <w:rFonts w:ascii="Calibri Light" w:hAnsi="Calibri Light" w:cs="Calibri Light"/>
        </w:rPr>
        <w:t xml:space="preserve">to </w:t>
      </w:r>
      <w:r w:rsidRPr="00FB167E">
        <w:rPr>
          <w:rFonts w:ascii="Calibri Light" w:hAnsi="Calibri Light" w:cs="Calibri Light"/>
        </w:rPr>
        <w:t xml:space="preserve">not </w:t>
      </w:r>
      <w:r w:rsidR="00AB0DE4">
        <w:rPr>
          <w:rFonts w:ascii="Calibri Light" w:hAnsi="Calibri Light" w:cs="Calibri Light"/>
        </w:rPr>
        <w:t xml:space="preserve">say things </w:t>
      </w:r>
      <w:r w:rsidRPr="00FB167E">
        <w:rPr>
          <w:rFonts w:ascii="Calibri Light" w:hAnsi="Calibri Light" w:cs="Calibri Light"/>
        </w:rPr>
        <w:t>about each other</w:t>
      </w:r>
      <w:r w:rsidR="00AB0DE4">
        <w:rPr>
          <w:rFonts w:ascii="Calibri Light" w:hAnsi="Calibri Light" w:cs="Calibri Light"/>
        </w:rPr>
        <w:t xml:space="preserve"> that are critical, dismissive or disrespectful</w:t>
      </w:r>
      <w:r w:rsidRPr="00FB167E">
        <w:rPr>
          <w:rFonts w:ascii="Calibri Light" w:hAnsi="Calibri Light" w:cs="Calibri Light"/>
        </w:rPr>
        <w:t>. A non</w:t>
      </w:r>
      <w:r w:rsidR="00503D0C">
        <w:rPr>
          <w:rFonts w:ascii="Calibri Light" w:hAnsi="Calibri Light" w:cs="Calibri Light"/>
        </w:rPr>
        <w:noBreakHyphen/>
      </w:r>
      <w:r w:rsidRPr="00FB167E">
        <w:rPr>
          <w:rFonts w:ascii="Calibri Light" w:hAnsi="Calibri Light" w:cs="Calibri Light"/>
        </w:rPr>
        <w:t>disparagement clause</w:t>
      </w:r>
      <w:r w:rsidR="00FC5C40" w:rsidRPr="00FB167E">
        <w:rPr>
          <w:rFonts w:ascii="Calibri Light" w:hAnsi="Calibri Light" w:cs="Calibri Light"/>
        </w:rPr>
        <w:t xml:space="preserve"> is </w:t>
      </w:r>
      <w:r w:rsidRPr="00FB167E">
        <w:rPr>
          <w:rFonts w:ascii="Calibri Light" w:hAnsi="Calibri Light" w:cs="Calibri Light"/>
        </w:rPr>
        <w:t>different</w:t>
      </w:r>
      <w:r w:rsidRPr="00501A45">
        <w:rPr>
          <w:rFonts w:ascii="Calibri Light" w:hAnsi="Calibri Light" w:cs="Calibri Light"/>
        </w:rPr>
        <w:t xml:space="preserve"> to a confidentiality clause but can have a similar effect because it </w:t>
      </w:r>
      <w:r w:rsidR="00874E98">
        <w:rPr>
          <w:rFonts w:ascii="Calibri Light" w:hAnsi="Calibri Light" w:cs="Calibri Light"/>
        </w:rPr>
        <w:t xml:space="preserve">limits what </w:t>
      </w:r>
      <w:r w:rsidRPr="00501A45">
        <w:rPr>
          <w:rFonts w:ascii="Calibri Light" w:hAnsi="Calibri Light" w:cs="Calibri Light"/>
        </w:rPr>
        <w:t xml:space="preserve">the parties to the agreement </w:t>
      </w:r>
      <w:r w:rsidR="002002A7">
        <w:rPr>
          <w:rFonts w:ascii="Calibri Light" w:hAnsi="Calibri Light" w:cs="Calibri Light"/>
        </w:rPr>
        <w:t xml:space="preserve">can </w:t>
      </w:r>
      <w:r w:rsidR="00B2459A">
        <w:rPr>
          <w:rFonts w:ascii="Calibri Light" w:hAnsi="Calibri Light" w:cs="Calibri Light"/>
        </w:rPr>
        <w:t>say</w:t>
      </w:r>
      <w:r w:rsidR="00345094">
        <w:rPr>
          <w:rFonts w:ascii="Calibri Light" w:hAnsi="Calibri Light" w:cs="Calibri Light"/>
        </w:rPr>
        <w:t>.</w:t>
      </w:r>
      <w:r w:rsidRPr="00501A45">
        <w:rPr>
          <w:rFonts w:ascii="Calibri Light" w:hAnsi="Calibri Light" w:cs="Calibri Light"/>
        </w:rPr>
        <w:t xml:space="preserve"> </w:t>
      </w:r>
    </w:p>
    <w:p w14:paraId="4909810B" w14:textId="044001DC" w:rsidR="00E34902" w:rsidRPr="00501A45" w:rsidRDefault="00E34902" w:rsidP="00E34902">
      <w:pPr>
        <w:ind w:right="56"/>
        <w:rPr>
          <w:rFonts w:ascii="Calibri Light" w:hAnsi="Calibri Light" w:cs="Calibri Light"/>
        </w:rPr>
      </w:pPr>
      <w:r w:rsidRPr="00501A45">
        <w:rPr>
          <w:rFonts w:ascii="Calibri Light" w:hAnsi="Calibri Light" w:cs="Calibri Light"/>
        </w:rPr>
        <w:t xml:space="preserve">It is important to consider whether a non-disparagement clause is necessary, and how it will operate with any confidentiality clause in </w:t>
      </w:r>
      <w:r w:rsidR="00511F8F" w:rsidRPr="00501A45">
        <w:rPr>
          <w:rFonts w:ascii="Calibri Light" w:hAnsi="Calibri Light" w:cs="Calibri Light"/>
        </w:rPr>
        <w:t>a</w:t>
      </w:r>
      <w:r w:rsidRPr="00501A45">
        <w:rPr>
          <w:rFonts w:ascii="Calibri Light" w:hAnsi="Calibri Light" w:cs="Calibri Light"/>
        </w:rPr>
        <w:t xml:space="preserve"> settlement agreement.</w:t>
      </w:r>
      <w:r w:rsidR="00B22210">
        <w:rPr>
          <w:rFonts w:ascii="Calibri Light" w:hAnsi="Calibri Light" w:cs="Calibri Light"/>
        </w:rPr>
        <w:t xml:space="preserve"> While these guidelines apply to confidentiality clauses, organisations are also encouraged to consider how the recommended approach could apply to their use </w:t>
      </w:r>
      <w:r w:rsidR="009838B5">
        <w:rPr>
          <w:rFonts w:ascii="Calibri Light" w:hAnsi="Calibri Light" w:cs="Calibri Light"/>
        </w:rPr>
        <w:t xml:space="preserve">of </w:t>
      </w:r>
      <w:r w:rsidR="00B22210">
        <w:rPr>
          <w:rFonts w:ascii="Calibri Light" w:hAnsi="Calibri Light" w:cs="Calibri Light"/>
        </w:rPr>
        <w:t>non</w:t>
      </w:r>
      <w:r w:rsidR="00503D0C">
        <w:rPr>
          <w:rFonts w:ascii="Calibri Light" w:hAnsi="Calibri Light" w:cs="Calibri Light"/>
        </w:rPr>
        <w:noBreakHyphen/>
      </w:r>
      <w:r w:rsidR="00B22210">
        <w:rPr>
          <w:rFonts w:ascii="Calibri Light" w:hAnsi="Calibri Light" w:cs="Calibri Light"/>
        </w:rPr>
        <w:t>disparagement clause</w:t>
      </w:r>
      <w:r w:rsidR="008C5444">
        <w:rPr>
          <w:rFonts w:ascii="Calibri Light" w:hAnsi="Calibri Light" w:cs="Calibri Light"/>
        </w:rPr>
        <w:t>s.</w:t>
      </w:r>
    </w:p>
    <w:p w14:paraId="2C2AB0E6" w14:textId="77777777" w:rsidR="00E34902" w:rsidRPr="00FB167E" w:rsidRDefault="00E34902"/>
    <w:p w14:paraId="0B890DE4" w14:textId="5A19D5C4" w:rsidR="008A61E1" w:rsidRPr="00FB167E" w:rsidRDefault="008A61E1">
      <w:r w:rsidRPr="00FB167E">
        <w:br w:type="page"/>
      </w:r>
    </w:p>
    <w:p w14:paraId="23E695CF" w14:textId="2A3FC023" w:rsidR="00894084" w:rsidRPr="00B22210" w:rsidRDefault="00231CD2" w:rsidP="00660D7C">
      <w:pPr>
        <w:pStyle w:val="Heading1"/>
      </w:pPr>
      <w:r w:rsidRPr="00FB167E">
        <w:lastRenderedPageBreak/>
        <w:t xml:space="preserve">Recommended approach </w:t>
      </w:r>
      <w:r w:rsidR="00894084" w:rsidRPr="00FB167E">
        <w:t xml:space="preserve">to </w:t>
      </w:r>
      <w:r w:rsidR="004001B2">
        <w:t xml:space="preserve">the use of </w:t>
      </w:r>
      <w:r w:rsidR="00FB4E35" w:rsidRPr="00B22210">
        <w:t>confidentiality clauses</w:t>
      </w:r>
      <w:r w:rsidR="00894084" w:rsidRPr="00B22210">
        <w:t xml:space="preserve"> </w:t>
      </w:r>
    </w:p>
    <w:p w14:paraId="27134A3C" w14:textId="593FA09A" w:rsidR="004637B1" w:rsidRPr="00501A45" w:rsidRDefault="00F81AA2" w:rsidP="00F70BBF">
      <w:pPr>
        <w:tabs>
          <w:tab w:val="left" w:pos="0"/>
        </w:tabs>
        <w:ind w:right="56"/>
        <w:rPr>
          <w:rFonts w:cstheme="majorHAnsi"/>
        </w:rPr>
      </w:pPr>
      <w:r w:rsidRPr="00231950">
        <w:t xml:space="preserve">Confidentiality clauses </w:t>
      </w:r>
      <w:r w:rsidRPr="00231950">
        <w:rPr>
          <w:rFonts w:ascii="Calibri Light" w:eastAsia="MS Gothic" w:hAnsi="Calibri Light" w:cs="Calibri Light"/>
          <w:color w:val="000000"/>
          <w:lang w:eastAsia="en-AU"/>
        </w:rPr>
        <w:t>should not be seen as standard terms in workplace sexual harassment settlement agreements</w:t>
      </w:r>
      <w:r w:rsidR="00B83F25" w:rsidRPr="00C21530">
        <w:rPr>
          <w:rFonts w:ascii="Calibri Light" w:hAnsi="Calibri Light" w:cs="Calibri Light"/>
        </w:rPr>
        <w:t>.</w:t>
      </w:r>
      <w:r w:rsidR="00B83F25" w:rsidRPr="00B22210">
        <w:rPr>
          <w:rFonts w:ascii="Calibri Light" w:hAnsi="Calibri Light" w:cs="Calibri Light"/>
        </w:rPr>
        <w:t xml:space="preserve"> </w:t>
      </w:r>
      <w:r w:rsidR="004637B1" w:rsidRPr="00B22210">
        <w:rPr>
          <w:rFonts w:ascii="Calibri Light" w:hAnsi="Calibri Light" w:cs="Calibri Light"/>
        </w:rPr>
        <w:t xml:space="preserve">When </w:t>
      </w:r>
      <w:r w:rsidR="004637B1" w:rsidRPr="00501A45">
        <w:rPr>
          <w:rFonts w:cstheme="majorHAnsi"/>
        </w:rPr>
        <w:t>resolving an allegation of workplace sexual harassment,</w:t>
      </w:r>
      <w:r w:rsidR="004637B1" w:rsidRPr="00501A45">
        <w:t xml:space="preserve"> </w:t>
      </w:r>
      <w:r w:rsidR="004637B1" w:rsidRPr="00501A45">
        <w:rPr>
          <w:rFonts w:cstheme="majorHAnsi"/>
        </w:rPr>
        <w:t xml:space="preserve">organisations should aim to </w:t>
      </w:r>
      <w:r w:rsidR="00A650F1" w:rsidRPr="00501A45">
        <w:rPr>
          <w:rFonts w:cstheme="majorHAnsi"/>
        </w:rPr>
        <w:t xml:space="preserve">promote openness and transparency to </w:t>
      </w:r>
      <w:r w:rsidR="004637B1" w:rsidRPr="00501A45">
        <w:rPr>
          <w:rFonts w:cstheme="majorHAnsi"/>
        </w:rPr>
        <w:t>ensure they are able to</w:t>
      </w:r>
      <w:r w:rsidR="00DF2999" w:rsidRPr="00501A45">
        <w:rPr>
          <w:rFonts w:cstheme="majorHAnsi"/>
        </w:rPr>
        <w:t xml:space="preserve"> take</w:t>
      </w:r>
      <w:r w:rsidR="004637B1" w:rsidRPr="00501A45">
        <w:rPr>
          <w:rFonts w:cstheme="majorHAnsi"/>
        </w:rPr>
        <w:t xml:space="preserve"> steps to address and prevent sexual harassment.</w:t>
      </w:r>
    </w:p>
    <w:p w14:paraId="40486861" w14:textId="2B134FA7" w:rsidR="00620D94" w:rsidRPr="00501A45" w:rsidRDefault="007C02A9" w:rsidP="004637B1">
      <w:pPr>
        <w:keepNext/>
        <w:ind w:right="56"/>
        <w:rPr>
          <w:rFonts w:cstheme="majorHAnsi"/>
        </w:rPr>
      </w:pPr>
      <w:r w:rsidRPr="00501A45">
        <w:rPr>
          <w:rFonts w:cstheme="majorHAnsi"/>
        </w:rPr>
        <w:t xml:space="preserve">Based on the findings of </w:t>
      </w:r>
      <w:r w:rsidR="00140039">
        <w:rPr>
          <w:rFonts w:cstheme="majorHAnsi"/>
        </w:rPr>
        <w:t xml:space="preserve">the </w:t>
      </w:r>
      <w:r w:rsidRPr="00501A45">
        <w:rPr>
          <w:rFonts w:cstheme="majorHAnsi"/>
        </w:rPr>
        <w:t>Respect@Work</w:t>
      </w:r>
      <w:r w:rsidR="00140039">
        <w:rPr>
          <w:rFonts w:cstheme="majorHAnsi"/>
        </w:rPr>
        <w:t xml:space="preserve"> Report</w:t>
      </w:r>
      <w:r w:rsidR="00101026" w:rsidRPr="00501A45">
        <w:rPr>
          <w:rFonts w:cstheme="majorHAnsi"/>
        </w:rPr>
        <w:t xml:space="preserve">, the following approach </w:t>
      </w:r>
      <w:r w:rsidR="00511F8F" w:rsidRPr="00501A45">
        <w:rPr>
          <w:rFonts w:cstheme="majorHAnsi"/>
        </w:rPr>
        <w:t xml:space="preserve">should inform </w:t>
      </w:r>
      <w:r w:rsidR="00140039">
        <w:rPr>
          <w:rFonts w:cstheme="majorHAnsi"/>
        </w:rPr>
        <w:t xml:space="preserve">the </w:t>
      </w:r>
      <w:r w:rsidR="00511F8F" w:rsidRPr="00501A45">
        <w:rPr>
          <w:rFonts w:cstheme="majorHAnsi"/>
        </w:rPr>
        <w:t>us</w:t>
      </w:r>
      <w:r w:rsidR="00201DE4">
        <w:rPr>
          <w:rFonts w:cstheme="majorHAnsi"/>
        </w:rPr>
        <w:t>e of</w:t>
      </w:r>
      <w:r w:rsidR="00511F8F" w:rsidRPr="00501A45">
        <w:rPr>
          <w:rFonts w:cstheme="majorHAnsi"/>
        </w:rPr>
        <w:t xml:space="preserve"> confidentiality clauses </w:t>
      </w:r>
      <w:r w:rsidR="00201DE4">
        <w:rPr>
          <w:rFonts w:cstheme="majorHAnsi"/>
        </w:rPr>
        <w:t>in</w:t>
      </w:r>
      <w:r w:rsidR="00201DE4" w:rsidRPr="00501A45">
        <w:rPr>
          <w:rFonts w:cstheme="majorHAnsi"/>
        </w:rPr>
        <w:t xml:space="preserve"> </w:t>
      </w:r>
      <w:r w:rsidR="00101026" w:rsidRPr="00501A45">
        <w:rPr>
          <w:rFonts w:cstheme="majorHAnsi"/>
        </w:rPr>
        <w:t xml:space="preserve">all </w:t>
      </w:r>
      <w:r w:rsidR="00511F8F" w:rsidRPr="00501A45">
        <w:rPr>
          <w:rFonts w:cstheme="majorHAnsi"/>
        </w:rPr>
        <w:t xml:space="preserve">workplace </w:t>
      </w:r>
      <w:r w:rsidR="00620D94" w:rsidRPr="00501A45">
        <w:rPr>
          <w:rFonts w:cstheme="majorHAnsi"/>
        </w:rPr>
        <w:t>sexual harassment</w:t>
      </w:r>
      <w:r w:rsidR="00201DE4">
        <w:rPr>
          <w:rFonts w:cstheme="majorHAnsi"/>
        </w:rPr>
        <w:t xml:space="preserve"> settlement </w:t>
      </w:r>
      <w:r w:rsidR="00511F8F" w:rsidRPr="00501A45">
        <w:rPr>
          <w:rFonts w:cstheme="majorHAnsi"/>
        </w:rPr>
        <w:t>agreements:</w:t>
      </w:r>
    </w:p>
    <w:p w14:paraId="6C791BBF" w14:textId="580032E8" w:rsidR="001E3208" w:rsidRPr="00B22210" w:rsidRDefault="004F35CD" w:rsidP="00F3106B">
      <w:pPr>
        <w:pStyle w:val="ListParagraph"/>
        <w:numPr>
          <w:ilvl w:val="0"/>
          <w:numId w:val="11"/>
        </w:numPr>
        <w:spacing w:after="0" w:line="240" w:lineRule="auto"/>
        <w:contextualSpacing w:val="0"/>
        <w:rPr>
          <w:rFonts w:eastAsia="Times New Roman" w:cstheme="majorHAnsi"/>
        </w:rPr>
      </w:pPr>
      <w:r>
        <w:t xml:space="preserve">Consider </w:t>
      </w:r>
      <w:r w:rsidRPr="00B22210">
        <w:t>the need for a confidentiality clause on a case-by-case basis</w:t>
      </w:r>
      <w:r w:rsidR="001E3208" w:rsidRPr="00B22210">
        <w:rPr>
          <w:rFonts w:eastAsia="Times New Roman" w:cstheme="majorHAnsi"/>
        </w:rPr>
        <w:t xml:space="preserve">. </w:t>
      </w:r>
    </w:p>
    <w:p w14:paraId="3B8E2AEA" w14:textId="239D7A60" w:rsidR="00F70BBF" w:rsidRPr="00BA4B42" w:rsidRDefault="000813D2" w:rsidP="00F3106B">
      <w:pPr>
        <w:pStyle w:val="ListParagraph"/>
        <w:numPr>
          <w:ilvl w:val="0"/>
          <w:numId w:val="11"/>
        </w:numPr>
        <w:spacing w:after="0" w:line="240" w:lineRule="auto"/>
        <w:contextualSpacing w:val="0"/>
        <w:rPr>
          <w:rFonts w:eastAsia="Times New Roman" w:cstheme="majorHAnsi"/>
        </w:rPr>
      </w:pPr>
      <w:r w:rsidRPr="00B22210">
        <w:rPr>
          <w:rFonts w:eastAsia="Times New Roman" w:cstheme="majorHAnsi"/>
        </w:rPr>
        <w:t>T</w:t>
      </w:r>
      <w:r w:rsidR="00EC6EF8" w:rsidRPr="00B22210">
        <w:rPr>
          <w:rFonts w:eastAsia="Times New Roman" w:cstheme="majorHAnsi"/>
        </w:rPr>
        <w:t xml:space="preserve">he </w:t>
      </w:r>
      <w:r w:rsidR="00244BCD" w:rsidRPr="00B22210">
        <w:rPr>
          <w:rFonts w:eastAsia="Times New Roman" w:cstheme="majorHAnsi"/>
        </w:rPr>
        <w:t xml:space="preserve">scope and duration of the </w:t>
      </w:r>
      <w:r w:rsidR="00EC6EF8" w:rsidRPr="00B22210">
        <w:rPr>
          <w:rFonts w:eastAsia="Times New Roman" w:cstheme="majorHAnsi"/>
        </w:rPr>
        <w:t xml:space="preserve">confidentiality </w:t>
      </w:r>
      <w:r w:rsidR="00511F8F" w:rsidRPr="00B22210">
        <w:rPr>
          <w:rFonts w:eastAsia="Times New Roman" w:cstheme="majorHAnsi"/>
        </w:rPr>
        <w:t xml:space="preserve">clause </w:t>
      </w:r>
      <w:r w:rsidR="00EC6EF8" w:rsidRPr="00B22210">
        <w:rPr>
          <w:rFonts w:eastAsia="Times New Roman" w:cstheme="majorHAnsi"/>
        </w:rPr>
        <w:t xml:space="preserve">should be </w:t>
      </w:r>
      <w:r w:rsidR="008434E2" w:rsidRPr="00B22210">
        <w:rPr>
          <w:rFonts w:eastAsia="Times New Roman" w:cstheme="majorHAnsi"/>
        </w:rPr>
        <w:t xml:space="preserve">as </w:t>
      </w:r>
      <w:r w:rsidR="00EC6EF8" w:rsidRPr="00B22210">
        <w:rPr>
          <w:rFonts w:eastAsia="Times New Roman" w:cstheme="majorHAnsi"/>
        </w:rPr>
        <w:t xml:space="preserve">limited </w:t>
      </w:r>
      <w:r w:rsidR="00A80F93">
        <w:rPr>
          <w:rFonts w:eastAsia="Times New Roman" w:cstheme="majorHAnsi"/>
        </w:rPr>
        <w:t xml:space="preserve">as </w:t>
      </w:r>
      <w:r w:rsidR="00EC6EF8" w:rsidRPr="00B22210">
        <w:rPr>
          <w:rFonts w:eastAsia="Times New Roman" w:cstheme="majorHAnsi"/>
        </w:rPr>
        <w:t>possible</w:t>
      </w:r>
      <w:r w:rsidR="00EC6EF8" w:rsidRPr="00BA4B42">
        <w:rPr>
          <w:rFonts w:eastAsia="Times New Roman" w:cstheme="majorHAnsi"/>
        </w:rPr>
        <w:t xml:space="preserve">. </w:t>
      </w:r>
    </w:p>
    <w:p w14:paraId="57454FA6" w14:textId="1C1A2577" w:rsidR="002B6BEC" w:rsidRDefault="007B4AB1" w:rsidP="006476DE">
      <w:pPr>
        <w:pStyle w:val="ListParagraph"/>
        <w:numPr>
          <w:ilvl w:val="0"/>
          <w:numId w:val="11"/>
        </w:numPr>
        <w:spacing w:after="0" w:line="240" w:lineRule="auto"/>
        <w:ind w:left="714" w:hanging="357"/>
        <w:contextualSpacing w:val="0"/>
        <w:rPr>
          <w:rFonts w:eastAsia="Times New Roman" w:cstheme="majorHAnsi"/>
        </w:rPr>
      </w:pPr>
      <w:r w:rsidRPr="00B22210">
        <w:rPr>
          <w:rFonts w:eastAsia="Times New Roman" w:cstheme="majorHAnsi"/>
        </w:rPr>
        <w:t xml:space="preserve">Confidentiality clauses </w:t>
      </w:r>
      <w:r w:rsidR="009503FE" w:rsidRPr="00B22210">
        <w:rPr>
          <w:rFonts w:eastAsia="Times New Roman" w:cstheme="majorHAnsi"/>
        </w:rPr>
        <w:t>should not prevent organisations from responding to systemic issues and providing a safer workplace</w:t>
      </w:r>
      <w:r w:rsidR="00670851" w:rsidRPr="00B22210">
        <w:rPr>
          <w:rFonts w:eastAsia="Times New Roman" w:cstheme="majorHAnsi"/>
        </w:rPr>
        <w:t>.</w:t>
      </w:r>
    </w:p>
    <w:p w14:paraId="7CC750A8" w14:textId="2AEB6392" w:rsidR="00C419F1" w:rsidRPr="00B22210" w:rsidRDefault="7E39F04F" w:rsidP="006476DE">
      <w:pPr>
        <w:pStyle w:val="ListParagraph"/>
        <w:numPr>
          <w:ilvl w:val="0"/>
          <w:numId w:val="11"/>
        </w:numPr>
        <w:spacing w:after="0" w:line="240" w:lineRule="auto"/>
        <w:ind w:left="714" w:hanging="357"/>
        <w:contextualSpacing w:val="0"/>
        <w:rPr>
          <w:rFonts w:eastAsia="Times New Roman" w:cstheme="majorBidi"/>
        </w:rPr>
      </w:pPr>
      <w:r w:rsidRPr="3A0961C3">
        <w:rPr>
          <w:rFonts w:eastAsia="Times New Roman" w:cstheme="majorBidi"/>
        </w:rPr>
        <w:t>A</w:t>
      </w:r>
      <w:r w:rsidR="00495F29" w:rsidRPr="3A0961C3">
        <w:rPr>
          <w:rFonts w:eastAsia="Times New Roman" w:cstheme="majorBidi"/>
        </w:rPr>
        <w:t xml:space="preserve">ll </w:t>
      </w:r>
      <w:r w:rsidR="00201DE4" w:rsidRPr="3A0961C3">
        <w:rPr>
          <w:rFonts w:eastAsia="Times New Roman" w:cstheme="majorBidi"/>
        </w:rPr>
        <w:t>clauses</w:t>
      </w:r>
      <w:r w:rsidR="00B93084" w:rsidRPr="3A0961C3">
        <w:rPr>
          <w:rFonts w:eastAsia="Times New Roman" w:cstheme="majorBidi"/>
        </w:rPr>
        <w:t xml:space="preserve"> in a settlement agreement </w:t>
      </w:r>
      <w:r w:rsidR="00201DE4" w:rsidRPr="3A0961C3">
        <w:rPr>
          <w:rFonts w:eastAsia="Times New Roman" w:cstheme="majorBidi"/>
        </w:rPr>
        <w:t>s</w:t>
      </w:r>
      <w:r w:rsidR="24420B68" w:rsidRPr="02269102">
        <w:rPr>
          <w:rFonts w:eastAsia="Times New Roman" w:cstheme="majorBidi"/>
        </w:rPr>
        <w:t xml:space="preserve">hould </w:t>
      </w:r>
      <w:r w:rsidR="0044252A">
        <w:rPr>
          <w:rFonts w:eastAsia="Times New Roman" w:cstheme="majorBidi"/>
        </w:rPr>
        <w:t xml:space="preserve">be </w:t>
      </w:r>
      <w:r w:rsidR="006A28E3">
        <w:rPr>
          <w:rFonts w:eastAsia="Times New Roman" w:cstheme="majorBidi"/>
        </w:rPr>
        <w:t xml:space="preserve">clear, </w:t>
      </w:r>
      <w:r w:rsidR="00755939" w:rsidRPr="3A0961C3">
        <w:rPr>
          <w:rFonts w:eastAsia="Times New Roman" w:cstheme="majorBidi"/>
        </w:rPr>
        <w:t xml:space="preserve">fair, </w:t>
      </w:r>
      <w:r w:rsidR="00B3554F" w:rsidRPr="3A0961C3">
        <w:rPr>
          <w:rFonts w:eastAsia="Times New Roman" w:cstheme="majorBidi"/>
        </w:rPr>
        <w:t xml:space="preserve">in </w:t>
      </w:r>
      <w:r w:rsidR="00C419F1" w:rsidRPr="3A0961C3">
        <w:rPr>
          <w:rFonts w:eastAsia="Times New Roman" w:cstheme="majorBidi"/>
        </w:rPr>
        <w:t xml:space="preserve">plain English </w:t>
      </w:r>
      <w:r w:rsidR="00B3554F" w:rsidRPr="3A0961C3">
        <w:rPr>
          <w:rFonts w:eastAsia="Times New Roman" w:cstheme="majorBidi"/>
        </w:rPr>
        <w:t>and</w:t>
      </w:r>
      <w:r w:rsidR="00201DE4" w:rsidRPr="3A0961C3">
        <w:rPr>
          <w:rFonts w:eastAsia="Times New Roman" w:cstheme="majorBidi"/>
        </w:rPr>
        <w:t>,</w:t>
      </w:r>
      <w:r w:rsidR="00B3554F" w:rsidRPr="3A0961C3">
        <w:rPr>
          <w:rFonts w:eastAsia="Times New Roman" w:cstheme="majorBidi"/>
        </w:rPr>
        <w:t xml:space="preserve"> where necessary</w:t>
      </w:r>
      <w:r w:rsidR="00201DE4" w:rsidRPr="3A0961C3">
        <w:rPr>
          <w:rFonts w:eastAsia="Times New Roman" w:cstheme="majorBidi"/>
        </w:rPr>
        <w:t>,</w:t>
      </w:r>
      <w:r w:rsidR="00B3554F" w:rsidRPr="3A0961C3">
        <w:rPr>
          <w:rFonts w:eastAsia="Times New Roman" w:cstheme="majorBidi"/>
        </w:rPr>
        <w:t xml:space="preserve"> translated</w:t>
      </w:r>
      <w:r w:rsidR="00C83C13">
        <w:rPr>
          <w:rFonts w:eastAsia="Times New Roman" w:cstheme="majorBidi"/>
        </w:rPr>
        <w:t xml:space="preserve"> and/or interpreted</w:t>
      </w:r>
      <w:r w:rsidR="00C419F1" w:rsidRPr="3A0961C3">
        <w:rPr>
          <w:rFonts w:eastAsia="Times New Roman" w:cstheme="majorBidi"/>
        </w:rPr>
        <w:t xml:space="preserve">. </w:t>
      </w:r>
    </w:p>
    <w:p w14:paraId="056E29FB" w14:textId="771E1D45" w:rsidR="00C419F1" w:rsidRPr="00B22210" w:rsidRDefault="00C419F1" w:rsidP="00F3106B">
      <w:pPr>
        <w:pStyle w:val="ListParagraph"/>
        <w:numPr>
          <w:ilvl w:val="0"/>
          <w:numId w:val="11"/>
        </w:numPr>
        <w:spacing w:after="0" w:line="240" w:lineRule="auto"/>
        <w:contextualSpacing w:val="0"/>
        <w:rPr>
          <w:rFonts w:eastAsia="Times New Roman" w:cstheme="majorHAnsi"/>
        </w:rPr>
      </w:pPr>
      <w:r w:rsidRPr="00B22210">
        <w:rPr>
          <w:rFonts w:eastAsia="Times New Roman" w:cstheme="majorHAnsi"/>
        </w:rPr>
        <w:t xml:space="preserve">The </w:t>
      </w:r>
      <w:r w:rsidR="00C87C22" w:rsidRPr="00B22210">
        <w:rPr>
          <w:rFonts w:eastAsia="Times New Roman" w:cstheme="majorHAnsi"/>
        </w:rPr>
        <w:t>person who made the allegation</w:t>
      </w:r>
      <w:r w:rsidRPr="00B22210">
        <w:rPr>
          <w:rFonts w:eastAsia="Times New Roman" w:cstheme="majorHAnsi"/>
        </w:rPr>
        <w:t xml:space="preserve"> should have access to independent </w:t>
      </w:r>
      <w:r w:rsidR="00F1543D" w:rsidRPr="00B22210">
        <w:rPr>
          <w:rFonts w:eastAsia="Times New Roman" w:cstheme="majorHAnsi"/>
        </w:rPr>
        <w:t xml:space="preserve">support or </w:t>
      </w:r>
      <w:r w:rsidRPr="00B22210">
        <w:rPr>
          <w:rFonts w:eastAsia="Times New Roman" w:cstheme="majorHAnsi"/>
        </w:rPr>
        <w:t xml:space="preserve">advice </w:t>
      </w:r>
      <w:r w:rsidR="00F1543D" w:rsidRPr="00B22210">
        <w:rPr>
          <w:rFonts w:eastAsia="Times New Roman" w:cstheme="majorHAnsi"/>
        </w:rPr>
        <w:t xml:space="preserve">to ensure they fully understand </w:t>
      </w:r>
      <w:r w:rsidRPr="00B22210">
        <w:rPr>
          <w:rFonts w:eastAsia="Times New Roman" w:cstheme="majorHAnsi"/>
        </w:rPr>
        <w:t xml:space="preserve">the meaning </w:t>
      </w:r>
      <w:r w:rsidR="00B3554F" w:rsidRPr="00B22210">
        <w:rPr>
          <w:rFonts w:eastAsia="Times New Roman" w:cstheme="majorHAnsi"/>
        </w:rPr>
        <w:t xml:space="preserve">and </w:t>
      </w:r>
      <w:r w:rsidR="00DA3E3E" w:rsidRPr="00B22210">
        <w:rPr>
          <w:rFonts w:eastAsia="Times New Roman" w:cstheme="majorHAnsi"/>
        </w:rPr>
        <w:t>impact o</w:t>
      </w:r>
      <w:r w:rsidRPr="00B22210">
        <w:rPr>
          <w:rFonts w:eastAsia="Times New Roman" w:cstheme="majorHAnsi"/>
        </w:rPr>
        <w:t xml:space="preserve">f the </w:t>
      </w:r>
      <w:r w:rsidR="0064204A">
        <w:rPr>
          <w:rFonts w:eastAsia="Times New Roman" w:cstheme="majorHAnsi"/>
        </w:rPr>
        <w:t>settlement agreement</w:t>
      </w:r>
      <w:r w:rsidR="00BD3A88">
        <w:rPr>
          <w:rFonts w:eastAsia="Times New Roman" w:cstheme="majorHAnsi"/>
        </w:rPr>
        <w:t>, including any confidentiality clause</w:t>
      </w:r>
      <w:r w:rsidRPr="00B22210">
        <w:rPr>
          <w:rFonts w:eastAsia="Times New Roman" w:cstheme="majorHAnsi"/>
        </w:rPr>
        <w:t xml:space="preserve">. </w:t>
      </w:r>
    </w:p>
    <w:p w14:paraId="474B1D8E" w14:textId="765E929C" w:rsidR="00642DAA" w:rsidRPr="00B22210" w:rsidRDefault="001E3208" w:rsidP="00F3106B">
      <w:pPr>
        <w:pStyle w:val="ListParagraph"/>
        <w:numPr>
          <w:ilvl w:val="0"/>
          <w:numId w:val="11"/>
        </w:numPr>
        <w:spacing w:after="0" w:line="240" w:lineRule="auto"/>
        <w:contextualSpacing w:val="0"/>
        <w:rPr>
          <w:rFonts w:eastAsia="Times New Roman" w:cstheme="majorHAnsi"/>
        </w:rPr>
      </w:pPr>
      <w:r w:rsidRPr="00B22210">
        <w:rPr>
          <w:rFonts w:eastAsia="Times New Roman" w:cstheme="majorHAnsi"/>
        </w:rPr>
        <w:t>N</w:t>
      </w:r>
      <w:r w:rsidR="00DB45CB" w:rsidRPr="00B22210">
        <w:rPr>
          <w:rFonts w:eastAsia="Times New Roman" w:cstheme="majorHAnsi"/>
        </w:rPr>
        <w:t>egotiations</w:t>
      </w:r>
      <w:r w:rsidR="00B93084">
        <w:rPr>
          <w:rFonts w:eastAsia="Times New Roman" w:cstheme="majorHAnsi"/>
        </w:rPr>
        <w:t xml:space="preserve"> about the terms of a settlement agreement</w:t>
      </w:r>
      <w:r w:rsidR="00DB45CB" w:rsidRPr="00B22210">
        <w:rPr>
          <w:rFonts w:eastAsia="Times New Roman" w:cstheme="majorHAnsi"/>
        </w:rPr>
        <w:t xml:space="preserve"> should </w:t>
      </w:r>
      <w:r w:rsidR="00A80F93">
        <w:rPr>
          <w:rFonts w:eastAsia="Times New Roman" w:cstheme="majorHAnsi"/>
        </w:rPr>
        <w:t>ensure</w:t>
      </w:r>
      <w:r w:rsidR="00CE456B">
        <w:rPr>
          <w:rFonts w:eastAsia="Times New Roman" w:cstheme="majorHAnsi"/>
        </w:rPr>
        <w:t xml:space="preserve"> </w:t>
      </w:r>
      <w:r w:rsidR="002F3B8B">
        <w:rPr>
          <w:rFonts w:eastAsia="Times New Roman" w:cstheme="majorHAnsi"/>
        </w:rPr>
        <w:t>so far as possible</w:t>
      </w:r>
      <w:r w:rsidR="002F3B8B" w:rsidRPr="00B22210">
        <w:rPr>
          <w:rFonts w:eastAsia="Times New Roman" w:cstheme="majorHAnsi"/>
        </w:rPr>
        <w:t xml:space="preserve"> the </w:t>
      </w:r>
      <w:r w:rsidR="00B55FD4" w:rsidRPr="00B22210">
        <w:rPr>
          <w:rFonts w:eastAsia="Times New Roman" w:cstheme="majorHAnsi"/>
        </w:rPr>
        <w:t xml:space="preserve">wellbeing and safety of the person who made the allegation, and be </w:t>
      </w:r>
      <w:r w:rsidR="00C419F1" w:rsidRPr="00B22210">
        <w:rPr>
          <w:rFonts w:eastAsia="Times New Roman" w:cstheme="majorHAnsi"/>
        </w:rPr>
        <w:t>trauma</w:t>
      </w:r>
      <w:r w:rsidR="00AA5F69" w:rsidRPr="00B22210">
        <w:rPr>
          <w:rFonts w:eastAsia="Times New Roman" w:cstheme="majorHAnsi"/>
        </w:rPr>
        <w:t>-</w:t>
      </w:r>
      <w:r w:rsidR="00C419F1" w:rsidRPr="00B22210">
        <w:rPr>
          <w:rFonts w:eastAsia="Times New Roman" w:cstheme="majorHAnsi"/>
        </w:rPr>
        <w:t>informed, culturally sensitive and intersectional.</w:t>
      </w:r>
    </w:p>
    <w:p w14:paraId="36063CF5" w14:textId="738136BD" w:rsidR="00806145" w:rsidRPr="00621746" w:rsidRDefault="00511F8F" w:rsidP="00F70BBF">
      <w:r w:rsidRPr="00621746">
        <w:t>These Guidelines are</w:t>
      </w:r>
      <w:r w:rsidR="00806145" w:rsidRPr="00621746">
        <w:t xml:space="preserve"> directed towards </w:t>
      </w:r>
      <w:r w:rsidR="000F314F" w:rsidRPr="00621746">
        <w:t xml:space="preserve">confidentiality </w:t>
      </w:r>
      <w:r w:rsidR="00956F82" w:rsidRPr="00621746">
        <w:t>obligations</w:t>
      </w:r>
      <w:r w:rsidR="000F314F" w:rsidRPr="00621746">
        <w:t xml:space="preserve"> contained in</w:t>
      </w:r>
      <w:r w:rsidR="00F432B3" w:rsidRPr="00621746">
        <w:t xml:space="preserve"> legally binding</w:t>
      </w:r>
      <w:r w:rsidR="000F314F" w:rsidRPr="00621746">
        <w:t xml:space="preserve"> settlement agreements</w:t>
      </w:r>
      <w:r w:rsidR="007D3758" w:rsidRPr="00621746">
        <w:t xml:space="preserve">. Nothing in this </w:t>
      </w:r>
      <w:r w:rsidRPr="00621746">
        <w:t>document</w:t>
      </w:r>
      <w:r w:rsidR="00776BAA" w:rsidRPr="00621746">
        <w:t xml:space="preserve"> prevents the parties choosing to keep </w:t>
      </w:r>
      <w:r w:rsidR="007C5103" w:rsidRPr="00621746">
        <w:t>details of the complaint or settlement</w:t>
      </w:r>
      <w:r w:rsidR="004C0AF0">
        <w:t xml:space="preserve"> confidential</w:t>
      </w:r>
      <w:r w:rsidR="007C5103" w:rsidRPr="00621746">
        <w:t xml:space="preserve">, including the person who has made the allegation. </w:t>
      </w:r>
    </w:p>
    <w:p w14:paraId="5675F044" w14:textId="4082C252" w:rsidR="006C4FB8" w:rsidRPr="00621746" w:rsidRDefault="00A30569" w:rsidP="001328AC">
      <w:pPr>
        <w:pStyle w:val="Heading2"/>
      </w:pPr>
      <w:r w:rsidRPr="00621746">
        <w:t>Checklist</w:t>
      </w:r>
      <w:r w:rsidR="006C4FB8" w:rsidRPr="00621746">
        <w:t xml:space="preserve"> before finalising</w:t>
      </w:r>
      <w:r w:rsidR="00511F8F" w:rsidRPr="00621746">
        <w:t xml:space="preserve"> a settlement agreement that contains a confidentiality clause</w:t>
      </w:r>
    </w:p>
    <w:p w14:paraId="708D0630" w14:textId="14E31F94" w:rsidR="006C4FB8" w:rsidRPr="00501A45" w:rsidRDefault="00511F8F" w:rsidP="006C4FB8">
      <w:r w:rsidRPr="00501A45">
        <w:rPr>
          <w:rFonts w:cstheme="majorHAnsi"/>
        </w:rPr>
        <w:t>T</w:t>
      </w:r>
      <w:r w:rsidR="006C4FB8" w:rsidRPr="00501A45">
        <w:rPr>
          <w:rFonts w:cstheme="majorHAnsi"/>
        </w:rPr>
        <w:t xml:space="preserve">he safety and wellbeing of the person who made the allegation should be </w:t>
      </w:r>
      <w:r w:rsidR="001654BD">
        <w:rPr>
          <w:rFonts w:cstheme="majorHAnsi"/>
        </w:rPr>
        <w:t>a</w:t>
      </w:r>
      <w:r w:rsidR="006C4FB8" w:rsidRPr="00501A45">
        <w:rPr>
          <w:rFonts w:cstheme="majorHAnsi"/>
        </w:rPr>
        <w:t xml:space="preserve"> central </w:t>
      </w:r>
      <w:r w:rsidR="001654BD">
        <w:rPr>
          <w:rFonts w:cstheme="majorHAnsi"/>
        </w:rPr>
        <w:t xml:space="preserve">consideration </w:t>
      </w:r>
      <w:r w:rsidR="006C4FB8" w:rsidRPr="00501A45">
        <w:rPr>
          <w:rFonts w:cstheme="majorHAnsi"/>
        </w:rPr>
        <w:t>in all discussions about confidentiality</w:t>
      </w:r>
      <w:r w:rsidRPr="00501A45">
        <w:rPr>
          <w:rFonts w:cstheme="majorHAnsi"/>
        </w:rPr>
        <w:t xml:space="preserve"> clauses in settlement agreements</w:t>
      </w:r>
      <w:r w:rsidR="006C4FB8" w:rsidRPr="00501A45">
        <w:rPr>
          <w:rFonts w:cstheme="majorHAnsi"/>
        </w:rPr>
        <w:t xml:space="preserve">. </w:t>
      </w:r>
      <w:r w:rsidR="00A41527">
        <w:rPr>
          <w:rFonts w:cstheme="majorHAnsi"/>
        </w:rPr>
        <w:t xml:space="preserve">The person who made the allegation should be fully informed at every stage of the process so that they have an opportunity to </w:t>
      </w:r>
      <w:r w:rsidR="00BD2BC3">
        <w:rPr>
          <w:rFonts w:cstheme="majorHAnsi"/>
        </w:rPr>
        <w:t>decide</w:t>
      </w:r>
      <w:r w:rsidR="00A41527">
        <w:rPr>
          <w:rFonts w:cstheme="majorHAnsi"/>
        </w:rPr>
        <w:t xml:space="preserve"> what is in their best interest</w:t>
      </w:r>
      <w:r w:rsidR="00BD2BC3">
        <w:rPr>
          <w:rFonts w:cstheme="majorHAnsi"/>
        </w:rPr>
        <w:t>s</w:t>
      </w:r>
      <w:r w:rsidR="00A41527">
        <w:rPr>
          <w:rFonts w:cstheme="majorHAnsi"/>
        </w:rPr>
        <w:t xml:space="preserve">. </w:t>
      </w:r>
      <w:r w:rsidR="006C4FB8" w:rsidRPr="00501A45">
        <w:rPr>
          <w:rFonts w:cstheme="majorHAnsi"/>
        </w:rPr>
        <w:t xml:space="preserve">To </w:t>
      </w:r>
      <w:r w:rsidR="00201DE4">
        <w:rPr>
          <w:rFonts w:cstheme="majorHAnsi"/>
        </w:rPr>
        <w:t>ensure</w:t>
      </w:r>
      <w:r w:rsidR="00201DE4" w:rsidRPr="00501A45">
        <w:rPr>
          <w:rFonts w:cstheme="majorHAnsi"/>
        </w:rPr>
        <w:t xml:space="preserve"> </w:t>
      </w:r>
      <w:r w:rsidR="006C4FB8" w:rsidRPr="00501A45">
        <w:rPr>
          <w:rFonts w:cstheme="majorHAnsi"/>
        </w:rPr>
        <w:t>the person who made the allegation is aware of the settlement</w:t>
      </w:r>
      <w:r w:rsidR="00201DE4">
        <w:rPr>
          <w:rFonts w:cstheme="majorHAnsi"/>
        </w:rPr>
        <w:t xml:space="preserve"> agreement</w:t>
      </w:r>
      <w:r w:rsidR="006C4FB8" w:rsidRPr="00501A45">
        <w:rPr>
          <w:rFonts w:cstheme="majorHAnsi"/>
        </w:rPr>
        <w:t xml:space="preserve"> process and what </w:t>
      </w:r>
      <w:r w:rsidRPr="00501A45">
        <w:rPr>
          <w:rFonts w:cstheme="majorHAnsi"/>
        </w:rPr>
        <w:t xml:space="preserve">a </w:t>
      </w:r>
      <w:r w:rsidR="006C4FB8" w:rsidRPr="00501A45">
        <w:rPr>
          <w:rFonts w:cstheme="majorHAnsi"/>
        </w:rPr>
        <w:t xml:space="preserve">confidentiality </w:t>
      </w:r>
      <w:r w:rsidRPr="00501A45">
        <w:rPr>
          <w:rFonts w:cstheme="majorHAnsi"/>
        </w:rPr>
        <w:t xml:space="preserve">clause </w:t>
      </w:r>
      <w:r w:rsidR="006C4FB8" w:rsidRPr="00501A45">
        <w:rPr>
          <w:rFonts w:cstheme="majorHAnsi"/>
        </w:rPr>
        <w:t xml:space="preserve">means, they should be provided with: </w:t>
      </w:r>
    </w:p>
    <w:p w14:paraId="6D335E5D" w14:textId="388F21B2" w:rsidR="006C4FB8" w:rsidRPr="00501A45" w:rsidRDefault="006C4FB8" w:rsidP="006C4FB8">
      <w:pPr>
        <w:pStyle w:val="ListParagraph"/>
        <w:numPr>
          <w:ilvl w:val="1"/>
          <w:numId w:val="1"/>
        </w:numPr>
        <w:tabs>
          <w:tab w:val="left" w:pos="8931"/>
        </w:tabs>
        <w:ind w:left="851" w:right="56"/>
        <w:rPr>
          <w:rFonts w:cstheme="majorHAnsi"/>
        </w:rPr>
      </w:pPr>
      <w:r w:rsidRPr="00501A45">
        <w:rPr>
          <w:rFonts w:cstheme="majorHAnsi"/>
        </w:rPr>
        <w:t xml:space="preserve">a copy of </w:t>
      </w:r>
      <w:r w:rsidR="00F47EB5" w:rsidRPr="00501A45">
        <w:rPr>
          <w:rFonts w:cstheme="majorHAnsi"/>
        </w:rPr>
        <w:t>these Guidelines</w:t>
      </w:r>
      <w:r w:rsidR="00BA423A" w:rsidRPr="00501A45">
        <w:rPr>
          <w:rFonts w:cstheme="majorHAnsi"/>
        </w:rPr>
        <w:t xml:space="preserve"> and the </w:t>
      </w:r>
      <w:r w:rsidR="005F17B8" w:rsidRPr="006476DE">
        <w:rPr>
          <w:rFonts w:cstheme="majorHAnsi"/>
          <w:i/>
        </w:rPr>
        <w:t>Guidelines on the Use</w:t>
      </w:r>
      <w:r w:rsidR="00BA423A" w:rsidRPr="006476DE">
        <w:rPr>
          <w:rFonts w:cstheme="majorHAnsi"/>
          <w:i/>
        </w:rPr>
        <w:t xml:space="preserve"> of Confidentiality </w:t>
      </w:r>
      <w:r w:rsidR="006D5289" w:rsidRPr="006476DE">
        <w:rPr>
          <w:rFonts w:cstheme="majorHAnsi"/>
          <w:i/>
        </w:rPr>
        <w:t xml:space="preserve">Clauses </w:t>
      </w:r>
      <w:r w:rsidR="00BA423A" w:rsidRPr="006476DE">
        <w:rPr>
          <w:rFonts w:cstheme="majorHAnsi"/>
          <w:i/>
        </w:rPr>
        <w:t xml:space="preserve">in </w:t>
      </w:r>
      <w:r w:rsidR="005F17B8" w:rsidRPr="006476DE">
        <w:rPr>
          <w:rFonts w:cstheme="majorHAnsi"/>
          <w:i/>
        </w:rPr>
        <w:t>the Resolution of Workplace</w:t>
      </w:r>
      <w:r w:rsidR="00BA423A" w:rsidRPr="006476DE">
        <w:rPr>
          <w:rFonts w:cstheme="majorHAnsi"/>
          <w:i/>
        </w:rPr>
        <w:t xml:space="preserve"> Sexual Harassment Complaints </w:t>
      </w:r>
      <w:r w:rsidR="005F17B8" w:rsidRPr="006476DE">
        <w:rPr>
          <w:rFonts w:cstheme="majorHAnsi"/>
          <w:i/>
        </w:rPr>
        <w:t xml:space="preserve">- </w:t>
      </w:r>
      <w:r w:rsidR="00BA423A" w:rsidRPr="006476DE">
        <w:rPr>
          <w:rFonts w:cstheme="majorHAnsi"/>
          <w:i/>
        </w:rPr>
        <w:t>Fact Sheet for Individuals</w:t>
      </w:r>
      <w:r w:rsidR="00BA423A" w:rsidRPr="00501A45">
        <w:rPr>
          <w:rFonts w:cstheme="majorHAnsi"/>
        </w:rPr>
        <w:t xml:space="preserve"> </w:t>
      </w:r>
    </w:p>
    <w:p w14:paraId="66B80A99" w14:textId="398AC3D2" w:rsidR="006C4FB8" w:rsidRPr="00501A45" w:rsidRDefault="001654BD" w:rsidP="006C4FB8">
      <w:pPr>
        <w:pStyle w:val="ListParagraph"/>
        <w:numPr>
          <w:ilvl w:val="1"/>
          <w:numId w:val="1"/>
        </w:numPr>
        <w:tabs>
          <w:tab w:val="left" w:pos="8931"/>
        </w:tabs>
        <w:ind w:left="851" w:right="56"/>
        <w:rPr>
          <w:rFonts w:cstheme="majorHAnsi"/>
        </w:rPr>
      </w:pPr>
      <w:r>
        <w:rPr>
          <w:rFonts w:cstheme="majorHAnsi"/>
        </w:rPr>
        <w:t xml:space="preserve">where possible, </w:t>
      </w:r>
      <w:r w:rsidR="006C4FB8" w:rsidRPr="00501A45">
        <w:rPr>
          <w:rFonts w:cstheme="majorHAnsi"/>
        </w:rPr>
        <w:t xml:space="preserve">a copy of any proposed </w:t>
      </w:r>
      <w:r w:rsidR="00431F63" w:rsidRPr="00501A45">
        <w:rPr>
          <w:rFonts w:cstheme="majorHAnsi"/>
        </w:rPr>
        <w:t xml:space="preserve">settlement </w:t>
      </w:r>
      <w:r w:rsidR="006C4FB8" w:rsidRPr="00501A45">
        <w:rPr>
          <w:rFonts w:cstheme="majorHAnsi"/>
        </w:rPr>
        <w:t>agreement drafted in an accessible format, including plain language</w:t>
      </w:r>
    </w:p>
    <w:p w14:paraId="3D7B7051" w14:textId="06C8363E" w:rsidR="006C4FB8" w:rsidRPr="00501A45" w:rsidRDefault="0084360C" w:rsidP="006C4FB8">
      <w:pPr>
        <w:pStyle w:val="ListParagraph"/>
        <w:numPr>
          <w:ilvl w:val="1"/>
          <w:numId w:val="1"/>
        </w:numPr>
        <w:tabs>
          <w:tab w:val="left" w:pos="8931"/>
        </w:tabs>
        <w:ind w:left="851" w:right="56"/>
        <w:rPr>
          <w:rFonts w:cstheme="majorHAnsi"/>
        </w:rPr>
      </w:pPr>
      <w:r w:rsidRPr="00501A45">
        <w:rPr>
          <w:rFonts w:cstheme="majorHAnsi"/>
        </w:rPr>
        <w:t>information about how to access</w:t>
      </w:r>
      <w:r w:rsidR="006C4FB8" w:rsidRPr="00501A45">
        <w:rPr>
          <w:rFonts w:cstheme="majorHAnsi"/>
        </w:rPr>
        <w:t xml:space="preserve"> legal services including</w:t>
      </w:r>
      <w:r w:rsidR="006D5289" w:rsidRPr="00501A45">
        <w:rPr>
          <w:rFonts w:cstheme="majorHAnsi"/>
        </w:rPr>
        <w:t xml:space="preserve"> Legal Aid Commissions, Aboriginal and Torres Strait Islander Legal Services, </w:t>
      </w:r>
      <w:r w:rsidR="006C4FB8" w:rsidRPr="00501A45">
        <w:rPr>
          <w:rFonts w:cstheme="majorHAnsi"/>
        </w:rPr>
        <w:t xml:space="preserve">community legal centres or other sources where they may be able to access free legal advice </w:t>
      </w:r>
    </w:p>
    <w:p w14:paraId="570E3CD8" w14:textId="79C82A60" w:rsidR="00E05666" w:rsidRPr="00501A45" w:rsidRDefault="00E05666" w:rsidP="00E05666">
      <w:pPr>
        <w:pStyle w:val="ListParagraph"/>
        <w:numPr>
          <w:ilvl w:val="1"/>
          <w:numId w:val="1"/>
        </w:numPr>
        <w:tabs>
          <w:tab w:val="left" w:pos="8931"/>
        </w:tabs>
        <w:ind w:left="851" w:right="56"/>
        <w:rPr>
          <w:rFonts w:cstheme="majorHAnsi"/>
        </w:rPr>
      </w:pPr>
      <w:r w:rsidRPr="00501A45">
        <w:rPr>
          <w:rFonts w:cstheme="majorHAnsi"/>
        </w:rPr>
        <w:t xml:space="preserve">information about how to access </w:t>
      </w:r>
      <w:r w:rsidRPr="00621746">
        <w:rPr>
          <w:rFonts w:cstheme="majorHAnsi"/>
        </w:rPr>
        <w:t>support and counselling services</w:t>
      </w:r>
      <w:r w:rsidR="00A3706C">
        <w:rPr>
          <w:rFonts w:cstheme="majorHAnsi"/>
        </w:rPr>
        <w:t xml:space="preserve">, </w:t>
      </w:r>
      <w:r w:rsidR="008E7AEA">
        <w:rPr>
          <w:rFonts w:cstheme="majorHAnsi"/>
        </w:rPr>
        <w:t xml:space="preserve">including </w:t>
      </w:r>
      <w:r w:rsidR="00A3706C">
        <w:t>union</w:t>
      </w:r>
      <w:r w:rsidR="008E7AEA">
        <w:t xml:space="preserve"> representatives</w:t>
      </w:r>
      <w:r w:rsidR="00A3706C">
        <w:t xml:space="preserve"> where appropriate</w:t>
      </w:r>
      <w:r w:rsidRPr="00501A45">
        <w:rPr>
          <w:rStyle w:val="CommentReference"/>
        </w:rPr>
        <w:t xml:space="preserve"> </w:t>
      </w:r>
      <w:r w:rsidRPr="00501A45">
        <w:rPr>
          <w:rFonts w:cstheme="majorHAnsi"/>
        </w:rPr>
        <w:t xml:space="preserve"> </w:t>
      </w:r>
    </w:p>
    <w:p w14:paraId="7342973B" w14:textId="1D2C3282" w:rsidR="00A10C0B" w:rsidRPr="00501A45" w:rsidRDefault="006C4FB8" w:rsidP="00F70BBF">
      <w:pPr>
        <w:pStyle w:val="ListParagraph"/>
        <w:numPr>
          <w:ilvl w:val="1"/>
          <w:numId w:val="1"/>
        </w:numPr>
        <w:tabs>
          <w:tab w:val="left" w:pos="8931"/>
        </w:tabs>
        <w:ind w:left="851" w:right="56"/>
        <w:rPr>
          <w:rFonts w:cstheme="majorHAnsi"/>
        </w:rPr>
      </w:pPr>
      <w:r w:rsidRPr="00501A45">
        <w:rPr>
          <w:rFonts w:cstheme="majorHAnsi"/>
        </w:rPr>
        <w:t>adequate time to read</w:t>
      </w:r>
      <w:r w:rsidR="006D5289" w:rsidRPr="00501A45">
        <w:rPr>
          <w:rFonts w:cstheme="majorHAnsi"/>
        </w:rPr>
        <w:t xml:space="preserve">, </w:t>
      </w:r>
      <w:r w:rsidRPr="00501A45">
        <w:rPr>
          <w:rFonts w:cstheme="majorHAnsi"/>
        </w:rPr>
        <w:t xml:space="preserve">understand </w:t>
      </w:r>
      <w:r w:rsidR="006D5289" w:rsidRPr="00501A45">
        <w:rPr>
          <w:rFonts w:cstheme="majorHAnsi"/>
        </w:rPr>
        <w:t xml:space="preserve">and sign </w:t>
      </w:r>
      <w:r w:rsidRPr="00501A45">
        <w:rPr>
          <w:rFonts w:cstheme="majorHAnsi"/>
        </w:rPr>
        <w:t xml:space="preserve">the </w:t>
      </w:r>
      <w:r w:rsidR="006D5289" w:rsidRPr="00501A45">
        <w:rPr>
          <w:rFonts w:cstheme="majorHAnsi"/>
        </w:rPr>
        <w:t>settlement agreement</w:t>
      </w:r>
      <w:r w:rsidR="00A10C0B" w:rsidRPr="00501A45">
        <w:rPr>
          <w:rFonts w:cstheme="majorHAnsi"/>
        </w:rPr>
        <w:t>.</w:t>
      </w:r>
      <w:r w:rsidRPr="00501A45">
        <w:rPr>
          <w:rFonts w:cstheme="majorHAnsi"/>
        </w:rPr>
        <w:t xml:space="preserve"> </w:t>
      </w:r>
    </w:p>
    <w:p w14:paraId="1E50B58B" w14:textId="0B052601" w:rsidR="00C66B82" w:rsidRPr="00621746" w:rsidRDefault="00C66B82">
      <w:pPr>
        <w:rPr>
          <w:rFonts w:ascii="Calibri Light" w:eastAsiaTheme="majorEastAsia" w:hAnsi="Calibri Light" w:cs="Calibri Light"/>
          <w:color w:val="0070C0"/>
          <w:sz w:val="56"/>
          <w:szCs w:val="32"/>
        </w:rPr>
      </w:pPr>
      <w:r w:rsidRPr="00501A45">
        <w:br w:type="page"/>
      </w:r>
    </w:p>
    <w:p w14:paraId="0ECC7997" w14:textId="3CBFE487" w:rsidR="00201DE4" w:rsidRPr="00201DE4" w:rsidRDefault="00201DE4" w:rsidP="00660D7C">
      <w:pPr>
        <w:pStyle w:val="Heading1"/>
      </w:pPr>
      <w:r>
        <w:lastRenderedPageBreak/>
        <w:t>1.</w:t>
      </w:r>
      <w:r w:rsidR="004F35CD">
        <w:t xml:space="preserve"> Consider the </w:t>
      </w:r>
      <w:r w:rsidRPr="00201DE4">
        <w:t>need for</w:t>
      </w:r>
      <w:r w:rsidR="004F35CD">
        <w:t xml:space="preserve"> a</w:t>
      </w:r>
      <w:r w:rsidRPr="00201DE4">
        <w:t xml:space="preserve"> confidentiality clause on a case-by-case basis</w:t>
      </w:r>
    </w:p>
    <w:p w14:paraId="5D1F037F" w14:textId="66DDA08C" w:rsidR="002A575F" w:rsidRPr="000551B9" w:rsidRDefault="002A575F" w:rsidP="00CB31AD">
      <w:pPr>
        <w:rPr>
          <w:rFonts w:ascii="Calibri Light" w:hAnsi="Calibri Light" w:cs="Calibri Light"/>
          <w:lang w:val="en-GB"/>
        </w:rPr>
      </w:pPr>
      <w:bookmarkStart w:id="6" w:name="_Hlk115446676"/>
      <w:r>
        <w:rPr>
          <w:rFonts w:ascii="Calibri Light" w:hAnsi="Calibri Light" w:cs="Calibri Light"/>
          <w:lang w:val="en-GB"/>
        </w:rPr>
        <w:t xml:space="preserve">Confidentiality clauses </w:t>
      </w:r>
      <w:r w:rsidR="001D40C4">
        <w:rPr>
          <w:rFonts w:ascii="Calibri Light" w:hAnsi="Calibri Light" w:cs="Calibri Light"/>
          <w:lang w:val="en-GB"/>
        </w:rPr>
        <w:t xml:space="preserve">should not be </w:t>
      </w:r>
      <w:r w:rsidR="00304985">
        <w:rPr>
          <w:rFonts w:ascii="Calibri Light" w:hAnsi="Calibri Light" w:cs="Calibri Light"/>
          <w:lang w:val="en-GB"/>
        </w:rPr>
        <w:t xml:space="preserve">a </w:t>
      </w:r>
      <w:r w:rsidR="001D40C4">
        <w:rPr>
          <w:rFonts w:ascii="Calibri Light" w:hAnsi="Calibri Light" w:cs="Calibri Light"/>
          <w:lang w:val="en-GB"/>
        </w:rPr>
        <w:t xml:space="preserve">standard term of </w:t>
      </w:r>
      <w:r>
        <w:rPr>
          <w:rFonts w:ascii="Calibri Light" w:hAnsi="Calibri Light" w:cs="Calibri Light"/>
          <w:lang w:val="en-GB"/>
        </w:rPr>
        <w:t xml:space="preserve">workplace sexual harassment settlement agreements and should be used </w:t>
      </w:r>
      <w:r w:rsidR="001D40C4">
        <w:rPr>
          <w:rFonts w:ascii="Calibri Light" w:hAnsi="Calibri Light" w:cs="Calibri Light"/>
          <w:lang w:val="en-GB"/>
        </w:rPr>
        <w:t>on a case-by-case basis</w:t>
      </w:r>
      <w:r>
        <w:rPr>
          <w:rFonts w:ascii="Calibri Light" w:hAnsi="Calibri Light" w:cs="Calibri Light"/>
          <w:lang w:val="en-GB"/>
        </w:rPr>
        <w:t xml:space="preserve">. </w:t>
      </w:r>
    </w:p>
    <w:bookmarkEnd w:id="6"/>
    <w:p w14:paraId="1553F446" w14:textId="21C31A53" w:rsidR="00E30B58" w:rsidRPr="00501A45" w:rsidRDefault="001E3208" w:rsidP="00CB31AD">
      <w:r w:rsidRPr="00501A45">
        <w:t>Parties and representatives should treat all workplace sexual harassment complaints on a case-by-case basis.</w:t>
      </w:r>
      <w:r w:rsidR="00E30B58" w:rsidRPr="00E30B58">
        <w:t xml:space="preserve"> Not all sexual harassment complaints are the same and confidentiality will not always be helpful</w:t>
      </w:r>
      <w:r w:rsidR="00614F60">
        <w:t>,</w:t>
      </w:r>
      <w:r w:rsidR="00E30B58" w:rsidRPr="00E30B58">
        <w:t xml:space="preserve"> appropriate</w:t>
      </w:r>
      <w:r w:rsidR="00614F60">
        <w:t xml:space="preserve"> or in the best interests of the</w:t>
      </w:r>
      <w:r w:rsidR="006A28E3">
        <w:t xml:space="preserve"> parties to the complaint</w:t>
      </w:r>
      <w:r w:rsidR="00E30B58">
        <w:t>.</w:t>
      </w:r>
      <w:r w:rsidRPr="00501A45">
        <w:t xml:space="preserve"> </w:t>
      </w:r>
    </w:p>
    <w:p w14:paraId="1EB94C30" w14:textId="7A0DA6DC" w:rsidR="00103AB0" w:rsidRPr="00103AB0" w:rsidRDefault="001E3208" w:rsidP="00103AB0">
      <w:r w:rsidRPr="00501A45">
        <w:t xml:space="preserve">The </w:t>
      </w:r>
      <w:r w:rsidR="004F35CD">
        <w:t xml:space="preserve">need for, and </w:t>
      </w:r>
      <w:r w:rsidRPr="00501A45">
        <w:t>approach to</w:t>
      </w:r>
      <w:r w:rsidR="00E30B58">
        <w:t>,</w:t>
      </w:r>
      <w:r w:rsidRPr="00501A45">
        <w:t xml:space="preserve"> confidentiality should vary depending on the individual situation, and all confidentiality clauses should </w:t>
      </w:r>
      <w:r w:rsidR="00E30B58">
        <w:t xml:space="preserve">be tailored </w:t>
      </w:r>
      <w:r w:rsidR="00A8755B">
        <w:t xml:space="preserve">to </w:t>
      </w:r>
      <w:r w:rsidRPr="00501A45">
        <w:t>reflect the circumstances of each case</w:t>
      </w:r>
      <w:r w:rsidR="00103AB0">
        <w:t xml:space="preserve">. </w:t>
      </w:r>
      <w:r w:rsidR="00103AB0">
        <w:rPr>
          <w:rFonts w:ascii="Calibri Light" w:hAnsi="Calibri Light" w:cs="Calibri Light"/>
          <w:lang w:val="en-GB"/>
        </w:rPr>
        <w:t xml:space="preserve">Competing interests should be fairly and carefully balanced, with particular consideration given to the wellbeing and safety of the person who made the allegation.  </w:t>
      </w:r>
    </w:p>
    <w:p w14:paraId="52CAA878" w14:textId="77777777" w:rsidR="001E3208" w:rsidRPr="00501A45" w:rsidRDefault="001E3208" w:rsidP="001E3208">
      <w:pPr>
        <w:spacing w:after="200" w:line="276" w:lineRule="auto"/>
        <w:ind w:right="56"/>
        <w:rPr>
          <w:rFonts w:ascii="Calibri Light" w:hAnsi="Calibri Light" w:cs="Calibri Light"/>
          <w:b/>
          <w:i/>
        </w:rPr>
      </w:pPr>
      <w:r w:rsidRPr="00501A45">
        <w:rPr>
          <w:rFonts w:ascii="Calibri Light" w:hAnsi="Calibri Light" w:cs="Calibri Light"/>
          <w:b/>
          <w:i/>
        </w:rPr>
        <w:t>Some questions to consider:</w:t>
      </w:r>
    </w:p>
    <w:p w14:paraId="0EB44D98" w14:textId="0CF4C624" w:rsidR="00E30B58" w:rsidRPr="00501A45" w:rsidRDefault="00E30B58" w:rsidP="00F3106B">
      <w:pPr>
        <w:pStyle w:val="ListParagraph"/>
        <w:numPr>
          <w:ilvl w:val="0"/>
          <w:numId w:val="12"/>
        </w:numPr>
        <w:spacing w:after="200" w:line="276" w:lineRule="auto"/>
        <w:ind w:right="56"/>
        <w:rPr>
          <w:rFonts w:ascii="Calibri Light" w:hAnsi="Calibri Light" w:cs="Calibri Light"/>
        </w:rPr>
      </w:pPr>
      <w:r w:rsidRPr="00501A45">
        <w:rPr>
          <w:rFonts w:ascii="Calibri Light" w:hAnsi="Calibri Light" w:cs="Calibri Light"/>
        </w:rPr>
        <w:t>Is</w:t>
      </w:r>
      <w:r>
        <w:rPr>
          <w:rFonts w:ascii="Calibri Light" w:hAnsi="Calibri Light" w:cs="Calibri Light"/>
        </w:rPr>
        <w:t xml:space="preserve"> a</w:t>
      </w:r>
      <w:r w:rsidRPr="00501A45">
        <w:rPr>
          <w:rFonts w:ascii="Calibri Light" w:hAnsi="Calibri Light" w:cs="Calibri Light"/>
        </w:rPr>
        <w:t xml:space="preserve"> confidentiality </w:t>
      </w:r>
      <w:r>
        <w:rPr>
          <w:rFonts w:ascii="Calibri Light" w:hAnsi="Calibri Light" w:cs="Calibri Light"/>
        </w:rPr>
        <w:t xml:space="preserve">clause </w:t>
      </w:r>
      <w:r w:rsidRPr="00501A45">
        <w:rPr>
          <w:rFonts w:ascii="Calibri Light" w:hAnsi="Calibri Light" w:cs="Calibri Light"/>
        </w:rPr>
        <w:t xml:space="preserve">necessary </w:t>
      </w:r>
      <w:r>
        <w:rPr>
          <w:rFonts w:ascii="Calibri Light" w:hAnsi="Calibri Light" w:cs="Calibri Light"/>
        </w:rPr>
        <w:t xml:space="preserve">in </w:t>
      </w:r>
      <w:r w:rsidRPr="00501A45">
        <w:rPr>
          <w:rFonts w:ascii="Calibri Light" w:hAnsi="Calibri Light" w:cs="Calibri Light"/>
        </w:rPr>
        <w:t xml:space="preserve">this </w:t>
      </w:r>
      <w:r>
        <w:rPr>
          <w:rFonts w:ascii="Calibri Light" w:hAnsi="Calibri Light" w:cs="Calibri Light"/>
        </w:rPr>
        <w:t>matter</w:t>
      </w:r>
      <w:r w:rsidRPr="00501A45">
        <w:rPr>
          <w:rFonts w:ascii="Calibri Light" w:hAnsi="Calibri Light" w:cs="Calibri Light"/>
        </w:rPr>
        <w:t>, and if so, why?</w:t>
      </w:r>
    </w:p>
    <w:p w14:paraId="43ADDA36" w14:textId="463BE0AC" w:rsidR="001E3208" w:rsidRDefault="00E30B58" w:rsidP="00F3106B">
      <w:pPr>
        <w:pStyle w:val="ListParagraph"/>
        <w:numPr>
          <w:ilvl w:val="0"/>
          <w:numId w:val="12"/>
        </w:numPr>
        <w:spacing w:after="200" w:line="276" w:lineRule="auto"/>
        <w:ind w:right="56"/>
        <w:rPr>
          <w:rFonts w:ascii="Calibri Light" w:hAnsi="Calibri Light" w:cs="Calibri Light"/>
        </w:rPr>
      </w:pPr>
      <w:r>
        <w:rPr>
          <w:rFonts w:ascii="Calibri Light" w:hAnsi="Calibri Light" w:cs="Calibri Light"/>
        </w:rPr>
        <w:t xml:space="preserve">Has </w:t>
      </w:r>
      <w:r w:rsidR="001E3208" w:rsidRPr="00501A45">
        <w:rPr>
          <w:rFonts w:ascii="Calibri Light" w:hAnsi="Calibri Light" w:cs="Calibri Light"/>
        </w:rPr>
        <w:t xml:space="preserve">the person who made the allegation </w:t>
      </w:r>
      <w:r>
        <w:rPr>
          <w:rFonts w:ascii="Calibri Light" w:hAnsi="Calibri Light" w:cs="Calibri Light"/>
        </w:rPr>
        <w:t xml:space="preserve">requested a </w:t>
      </w:r>
      <w:r w:rsidR="001E3208" w:rsidRPr="00501A45">
        <w:rPr>
          <w:rFonts w:ascii="Calibri Light" w:hAnsi="Calibri Light" w:cs="Calibri Light"/>
        </w:rPr>
        <w:t>confidentiality</w:t>
      </w:r>
      <w:r>
        <w:rPr>
          <w:rFonts w:ascii="Calibri Light" w:hAnsi="Calibri Light" w:cs="Calibri Light"/>
        </w:rPr>
        <w:t xml:space="preserve"> clause</w:t>
      </w:r>
      <w:r w:rsidR="001E3208" w:rsidRPr="00501A45">
        <w:rPr>
          <w:rFonts w:ascii="Calibri Light" w:hAnsi="Calibri Light" w:cs="Calibri Light"/>
        </w:rPr>
        <w:t>?</w:t>
      </w:r>
    </w:p>
    <w:p w14:paraId="0226EDAC" w14:textId="132F558E" w:rsidR="0030341C" w:rsidRPr="00D654A1" w:rsidRDefault="0030341C" w:rsidP="00D654A1">
      <w:pPr>
        <w:pStyle w:val="ListParagraph"/>
        <w:numPr>
          <w:ilvl w:val="0"/>
          <w:numId w:val="12"/>
        </w:numPr>
        <w:rPr>
          <w:rFonts w:ascii="Calibri Light" w:hAnsi="Calibri Light" w:cs="Calibri Light"/>
        </w:rPr>
      </w:pPr>
      <w:r w:rsidRPr="0030341C">
        <w:rPr>
          <w:rFonts w:ascii="Calibri Light" w:hAnsi="Calibri Light" w:cs="Calibri Light"/>
        </w:rPr>
        <w:t>Has the person who made the allegation had an opportunity to understand what a confidentiality clause is and what are its implications and alternatives? This may include having a translator and/or interpreter to assist.</w:t>
      </w:r>
    </w:p>
    <w:p w14:paraId="30CF92BB" w14:textId="5B696EC6" w:rsidR="001E3208" w:rsidRPr="00501A45" w:rsidRDefault="001E3208" w:rsidP="00F3106B">
      <w:pPr>
        <w:pStyle w:val="ListParagraph"/>
        <w:numPr>
          <w:ilvl w:val="0"/>
          <w:numId w:val="12"/>
        </w:numPr>
        <w:spacing w:after="200" w:line="276" w:lineRule="auto"/>
        <w:ind w:right="56"/>
        <w:rPr>
          <w:rFonts w:ascii="Calibri Light" w:hAnsi="Calibri Light" w:cs="Calibri Light"/>
        </w:rPr>
      </w:pPr>
      <w:r w:rsidRPr="00501A45">
        <w:rPr>
          <w:rFonts w:ascii="Calibri Light" w:hAnsi="Calibri Light" w:cs="Calibri Light"/>
        </w:rPr>
        <w:t xml:space="preserve">Is </w:t>
      </w:r>
      <w:r w:rsidR="00E30B58">
        <w:rPr>
          <w:rFonts w:ascii="Calibri Light" w:hAnsi="Calibri Light" w:cs="Calibri Light"/>
        </w:rPr>
        <w:t xml:space="preserve">a </w:t>
      </w:r>
      <w:r w:rsidRPr="00501A45">
        <w:rPr>
          <w:rFonts w:ascii="Calibri Light" w:hAnsi="Calibri Light" w:cs="Calibri Light"/>
        </w:rPr>
        <w:t xml:space="preserve">confidentiality </w:t>
      </w:r>
      <w:r w:rsidR="00E30B58">
        <w:rPr>
          <w:rFonts w:ascii="Calibri Light" w:hAnsi="Calibri Light" w:cs="Calibri Light"/>
        </w:rPr>
        <w:t xml:space="preserve">clause </w:t>
      </w:r>
      <w:r w:rsidRPr="00501A45">
        <w:rPr>
          <w:rFonts w:ascii="Calibri Light" w:hAnsi="Calibri Light" w:cs="Calibri Light"/>
        </w:rPr>
        <w:t>necessary to protect the identity of some of the parties involved, such as witnesses?</w:t>
      </w:r>
    </w:p>
    <w:p w14:paraId="650011B5" w14:textId="3DF600BE" w:rsidR="00F70BBF" w:rsidRPr="004F35CD" w:rsidRDefault="00201DE4" w:rsidP="00660D7C">
      <w:pPr>
        <w:pStyle w:val="Heading1"/>
      </w:pPr>
      <w:bookmarkStart w:id="7" w:name="_2._The_scope"/>
      <w:bookmarkEnd w:id="7"/>
      <w:r>
        <w:t xml:space="preserve">2. </w:t>
      </w:r>
      <w:r w:rsidRPr="00B22210">
        <w:t xml:space="preserve">The scope and duration of </w:t>
      </w:r>
      <w:r w:rsidR="00E30B58">
        <w:t>a</w:t>
      </w:r>
      <w:r w:rsidRPr="00B22210">
        <w:t xml:space="preserve"> confidentiality clause should be</w:t>
      </w:r>
      <w:r w:rsidR="008434E2">
        <w:t xml:space="preserve"> as</w:t>
      </w:r>
      <w:r w:rsidRPr="00B22210">
        <w:t xml:space="preserve"> limited a</w:t>
      </w:r>
      <w:r w:rsidR="008434E2">
        <w:t>s possible</w:t>
      </w:r>
    </w:p>
    <w:p w14:paraId="71224DE8" w14:textId="06CF64E4" w:rsidR="008434E2" w:rsidRDefault="005A4B37" w:rsidP="008434E2">
      <w:r w:rsidRPr="008434E2">
        <w:rPr>
          <w:rFonts w:ascii="Calibri Light" w:hAnsi="Calibri Light" w:cs="Calibri Light"/>
        </w:rPr>
        <w:t xml:space="preserve">If parties to a settlement agreement </w:t>
      </w:r>
      <w:r>
        <w:rPr>
          <w:rFonts w:ascii="Calibri Light" w:hAnsi="Calibri Light" w:cs="Calibri Light"/>
        </w:rPr>
        <w:t>agree</w:t>
      </w:r>
      <w:r w:rsidRPr="008434E2">
        <w:rPr>
          <w:rFonts w:ascii="Calibri Light" w:hAnsi="Calibri Light" w:cs="Calibri Light"/>
        </w:rPr>
        <w:t xml:space="preserve"> to include a confidentiality clause</w:t>
      </w:r>
      <w:r w:rsidR="006A68F7">
        <w:rPr>
          <w:rFonts w:ascii="Calibri Light" w:hAnsi="Calibri Light" w:cs="Calibri Light"/>
        </w:rPr>
        <w:t xml:space="preserve"> in a settlement agreement</w:t>
      </w:r>
      <w:r w:rsidRPr="008434E2">
        <w:rPr>
          <w:rFonts w:ascii="Calibri Light" w:hAnsi="Calibri Light" w:cs="Calibri Light"/>
        </w:rPr>
        <w:t xml:space="preserve">, the clause should be </w:t>
      </w:r>
      <w:r>
        <w:rPr>
          <w:rFonts w:ascii="Calibri Light" w:hAnsi="Calibri Light" w:cs="Calibri Light"/>
        </w:rPr>
        <w:t xml:space="preserve">as </w:t>
      </w:r>
      <w:r w:rsidRPr="008434E2">
        <w:rPr>
          <w:rFonts w:ascii="Calibri Light" w:hAnsi="Calibri Light" w:cs="Calibri Light"/>
        </w:rPr>
        <w:t xml:space="preserve">limited </w:t>
      </w:r>
      <w:r>
        <w:rPr>
          <w:rFonts w:ascii="Calibri Light" w:hAnsi="Calibri Light" w:cs="Calibri Light"/>
        </w:rPr>
        <w:t xml:space="preserve">as possible </w:t>
      </w:r>
      <w:r w:rsidRPr="008434E2">
        <w:rPr>
          <w:rFonts w:ascii="Calibri Light" w:hAnsi="Calibri Light" w:cs="Calibri Light"/>
        </w:rPr>
        <w:t xml:space="preserve">in </w:t>
      </w:r>
      <w:r>
        <w:rPr>
          <w:rFonts w:ascii="Calibri Light" w:hAnsi="Calibri Light" w:cs="Calibri Light"/>
        </w:rPr>
        <w:t xml:space="preserve">both </w:t>
      </w:r>
      <w:r w:rsidRPr="008434E2">
        <w:rPr>
          <w:rFonts w:ascii="Calibri Light" w:hAnsi="Calibri Light" w:cs="Calibri Light"/>
        </w:rPr>
        <w:t>scope and d</w:t>
      </w:r>
      <w:r>
        <w:rPr>
          <w:rFonts w:ascii="Calibri Light" w:hAnsi="Calibri Light" w:cs="Calibri Light"/>
        </w:rPr>
        <w:t>u</w:t>
      </w:r>
      <w:r w:rsidRPr="008434E2">
        <w:rPr>
          <w:rFonts w:ascii="Calibri Light" w:hAnsi="Calibri Light" w:cs="Calibri Light"/>
        </w:rPr>
        <w:t xml:space="preserve">ration. </w:t>
      </w:r>
      <w:r w:rsidR="00817BBD">
        <w:t xml:space="preserve">This section outlines some key matters to consider when determining the appropriate scope and duration of a confidentiality clause. </w:t>
      </w:r>
    </w:p>
    <w:p w14:paraId="6C56F608" w14:textId="5256D8EF" w:rsidR="006A68F7" w:rsidRDefault="006A68F7" w:rsidP="008434E2">
      <w:r>
        <w:t xml:space="preserve">The person who made the allegation should have access to independent legal advice and/or support to assist them in this process (further detail </w:t>
      </w:r>
      <w:r w:rsidRPr="005A4B37">
        <w:rPr>
          <w:b/>
        </w:rPr>
        <w:t>below</w:t>
      </w:r>
      <w:r>
        <w:t xml:space="preserve">). </w:t>
      </w:r>
    </w:p>
    <w:p w14:paraId="212502AB" w14:textId="05F4E7C5" w:rsidR="00F70BBF" w:rsidRPr="00501A45" w:rsidRDefault="008434E2" w:rsidP="00F70BBF">
      <w:pPr>
        <w:pStyle w:val="Heading2"/>
        <w:ind w:right="56"/>
      </w:pPr>
      <w:r>
        <w:t>Exceptions allowing disclosure</w:t>
      </w:r>
    </w:p>
    <w:p w14:paraId="23317D64" w14:textId="021CEDDE" w:rsidR="007F5DC1" w:rsidRDefault="009D7AD3" w:rsidP="007F5DC1">
      <w:pPr>
        <w:spacing w:after="200" w:line="276" w:lineRule="auto"/>
        <w:ind w:right="56"/>
        <w:rPr>
          <w:rFonts w:ascii="Calibri Light" w:hAnsi="Calibri Light" w:cs="Calibri Light"/>
        </w:rPr>
      </w:pPr>
      <w:r>
        <w:rPr>
          <w:rFonts w:ascii="Calibri Light" w:hAnsi="Calibri Light" w:cs="Calibri Light"/>
        </w:rPr>
        <w:t>C</w:t>
      </w:r>
      <w:r w:rsidR="00F70BBF" w:rsidRPr="00501A45">
        <w:rPr>
          <w:rFonts w:ascii="Calibri Light" w:hAnsi="Calibri Light" w:cs="Calibri Light"/>
        </w:rPr>
        <w:t xml:space="preserve">onfidentiality clauses </w:t>
      </w:r>
      <w:r w:rsidR="00E44EB7">
        <w:rPr>
          <w:rFonts w:ascii="Calibri Light" w:hAnsi="Calibri Light" w:cs="Calibri Light"/>
        </w:rPr>
        <w:t xml:space="preserve">may </w:t>
      </w:r>
      <w:r w:rsidR="00F70BBF" w:rsidRPr="00501A45">
        <w:rPr>
          <w:rFonts w:ascii="Calibri Light" w:hAnsi="Calibri Light" w:cs="Calibri Light"/>
        </w:rPr>
        <w:t xml:space="preserve">contain exceptions that enable the person who made the allegation to be able to disclose information about their experience </w:t>
      </w:r>
      <w:r w:rsidR="0069163D">
        <w:rPr>
          <w:rFonts w:ascii="Calibri Light" w:hAnsi="Calibri Light" w:cs="Calibri Light"/>
        </w:rPr>
        <w:t xml:space="preserve">or the settlement agreement </w:t>
      </w:r>
      <w:r w:rsidR="00F70BBF" w:rsidRPr="00501A45">
        <w:rPr>
          <w:rFonts w:ascii="Calibri Light" w:hAnsi="Calibri Light" w:cs="Calibri Light"/>
        </w:rPr>
        <w:t>to a list of agreed people and organisations</w:t>
      </w:r>
      <w:r w:rsidR="0069163D">
        <w:rPr>
          <w:rFonts w:ascii="Calibri Light" w:hAnsi="Calibri Light" w:cs="Calibri Light"/>
        </w:rPr>
        <w:t xml:space="preserve"> where the parties agree that disclosure is appropriate</w:t>
      </w:r>
      <w:r w:rsidR="00F70BBF" w:rsidRPr="00501A45">
        <w:rPr>
          <w:rFonts w:ascii="Calibri Light" w:hAnsi="Calibri Light" w:cs="Calibri Light"/>
        </w:rPr>
        <w:t xml:space="preserve">. </w:t>
      </w:r>
      <w:r>
        <w:rPr>
          <w:rFonts w:ascii="Calibri Light" w:hAnsi="Calibri Light" w:cs="Calibri Light"/>
        </w:rPr>
        <w:t xml:space="preserve">These people and organisations may </w:t>
      </w:r>
      <w:r w:rsidR="00F70BBF" w:rsidRPr="00501A45">
        <w:rPr>
          <w:rFonts w:cstheme="minorHAnsi"/>
        </w:rPr>
        <w:t>include</w:t>
      </w:r>
      <w:r>
        <w:rPr>
          <w:rFonts w:cstheme="minorHAnsi"/>
        </w:rPr>
        <w:t>:</w:t>
      </w:r>
      <w:r w:rsidR="00F70BBF" w:rsidRPr="00501A45">
        <w:rPr>
          <w:rFonts w:cstheme="minorHAnsi"/>
        </w:rPr>
        <w:t xml:space="preserve"> </w:t>
      </w:r>
      <w:r w:rsidR="00F70BBF" w:rsidRPr="00501A45">
        <w:rPr>
          <w:rFonts w:ascii="Calibri Light" w:hAnsi="Calibri Light" w:cs="Calibri Light"/>
        </w:rPr>
        <w:t xml:space="preserve">close family members, law enforcement officials, legal professionals, </w:t>
      </w:r>
      <w:r w:rsidR="001F707C">
        <w:rPr>
          <w:rFonts w:ascii="Calibri Light" w:hAnsi="Calibri Light" w:cs="Calibri Light"/>
        </w:rPr>
        <w:t xml:space="preserve">regulators and external authorities, </w:t>
      </w:r>
      <w:r w:rsidR="00F913D9">
        <w:rPr>
          <w:rFonts w:ascii="Calibri Light" w:hAnsi="Calibri Light" w:cs="Calibri Light"/>
        </w:rPr>
        <w:t xml:space="preserve">financial advisers, </w:t>
      </w:r>
      <w:r w:rsidR="00F70BBF" w:rsidRPr="00501A45">
        <w:rPr>
          <w:rFonts w:ascii="Calibri Light" w:hAnsi="Calibri Light" w:cs="Calibri Light"/>
        </w:rPr>
        <w:t xml:space="preserve">union representatives, a prospective employer, workers compensation insurer, </w:t>
      </w:r>
      <w:r w:rsidR="00F913D9">
        <w:rPr>
          <w:rFonts w:ascii="Calibri Light" w:hAnsi="Calibri Light" w:cs="Calibri Light"/>
        </w:rPr>
        <w:t xml:space="preserve">counsellors </w:t>
      </w:r>
      <w:r w:rsidR="00DF662E">
        <w:rPr>
          <w:rFonts w:ascii="Calibri Light" w:hAnsi="Calibri Light" w:cs="Calibri Light"/>
        </w:rPr>
        <w:t xml:space="preserve">or </w:t>
      </w:r>
      <w:r w:rsidR="00F70BBF" w:rsidRPr="00501A45">
        <w:rPr>
          <w:rFonts w:ascii="Calibri Light" w:hAnsi="Calibri Light" w:cs="Calibri Light"/>
        </w:rPr>
        <w:t xml:space="preserve">medical and mental health professionals. </w:t>
      </w:r>
      <w:r w:rsidR="007F5DC1" w:rsidRPr="007F5DC1">
        <w:rPr>
          <w:rFonts w:ascii="Calibri Light" w:hAnsi="Calibri Light" w:cs="Calibri Light"/>
        </w:rPr>
        <w:t xml:space="preserve"> </w:t>
      </w:r>
      <w:r w:rsidR="00666730">
        <w:rPr>
          <w:rFonts w:ascii="Calibri Light" w:hAnsi="Calibri Light" w:cs="Calibri Light"/>
        </w:rPr>
        <w:t>C</w:t>
      </w:r>
      <w:r w:rsidR="007F5DC1">
        <w:rPr>
          <w:rFonts w:ascii="Calibri Light" w:hAnsi="Calibri Light" w:cs="Calibri Light"/>
        </w:rPr>
        <w:t>onfidentiality clause</w:t>
      </w:r>
      <w:r w:rsidR="00666730">
        <w:rPr>
          <w:rFonts w:ascii="Calibri Light" w:hAnsi="Calibri Light" w:cs="Calibri Light"/>
        </w:rPr>
        <w:t>s</w:t>
      </w:r>
      <w:r w:rsidR="007F5DC1">
        <w:rPr>
          <w:rFonts w:ascii="Calibri Light" w:hAnsi="Calibri Light" w:cs="Calibri Light"/>
        </w:rPr>
        <w:t xml:space="preserve"> should not prevent the person who has made the allegation from seeking professional support and advice</w:t>
      </w:r>
      <w:r w:rsidR="006A28E3">
        <w:rPr>
          <w:rFonts w:ascii="Calibri Light" w:hAnsi="Calibri Light" w:cs="Calibri Light"/>
        </w:rPr>
        <w:t xml:space="preserve"> or</w:t>
      </w:r>
      <w:r w:rsidR="00227113">
        <w:rPr>
          <w:rFonts w:ascii="Calibri Light" w:hAnsi="Calibri Light" w:cs="Calibri Light"/>
        </w:rPr>
        <w:t xml:space="preserve"> talking to their close family members</w:t>
      </w:r>
      <w:r w:rsidR="006A28E3">
        <w:rPr>
          <w:rFonts w:ascii="Calibri Light" w:hAnsi="Calibri Light" w:cs="Calibri Light"/>
        </w:rPr>
        <w:t xml:space="preserve"> about their experience</w:t>
      </w:r>
      <w:r w:rsidR="00666730">
        <w:rPr>
          <w:rFonts w:ascii="Calibri Light" w:hAnsi="Calibri Light" w:cs="Calibri Light"/>
        </w:rPr>
        <w:t xml:space="preserve">. </w:t>
      </w:r>
    </w:p>
    <w:p w14:paraId="5CC02E30" w14:textId="58FA1AF6" w:rsidR="00C53DC1" w:rsidRDefault="00F70BBF" w:rsidP="00F70BBF">
      <w:pPr>
        <w:spacing w:after="200" w:line="276" w:lineRule="auto"/>
        <w:ind w:right="56"/>
        <w:rPr>
          <w:rFonts w:ascii="Calibri Light" w:hAnsi="Calibri Light" w:cs="Calibri Light"/>
        </w:rPr>
      </w:pPr>
      <w:r w:rsidRPr="00501A45">
        <w:rPr>
          <w:rFonts w:ascii="Calibri Light" w:hAnsi="Calibri Light" w:cs="Calibri Light"/>
        </w:rPr>
        <w:t>Where a</w:t>
      </w:r>
      <w:r w:rsidR="009D7AD3">
        <w:rPr>
          <w:rFonts w:ascii="Calibri Light" w:hAnsi="Calibri Light" w:cs="Calibri Light"/>
        </w:rPr>
        <w:t xml:space="preserve"> confidentiality clause has</w:t>
      </w:r>
      <w:r w:rsidRPr="00501A45">
        <w:rPr>
          <w:rFonts w:ascii="Calibri Light" w:hAnsi="Calibri Light" w:cs="Calibri Light"/>
        </w:rPr>
        <w:t xml:space="preserve"> exception</w:t>
      </w:r>
      <w:r w:rsidR="009D7AD3">
        <w:rPr>
          <w:rFonts w:ascii="Calibri Light" w:hAnsi="Calibri Light" w:cs="Calibri Light"/>
        </w:rPr>
        <w:t>s</w:t>
      </w:r>
      <w:r w:rsidRPr="00501A45">
        <w:rPr>
          <w:rFonts w:ascii="Calibri Light" w:hAnsi="Calibri Light" w:cs="Calibri Light"/>
        </w:rPr>
        <w:t>, it may be appropriate to include conditions on the disclosure</w:t>
      </w:r>
      <w:r w:rsidR="009D7AD3">
        <w:rPr>
          <w:rFonts w:ascii="Calibri Light" w:hAnsi="Calibri Light" w:cs="Calibri Light"/>
        </w:rPr>
        <w:t xml:space="preserve"> to those people. F</w:t>
      </w:r>
      <w:r w:rsidRPr="00501A45">
        <w:rPr>
          <w:rFonts w:ascii="Calibri Light" w:hAnsi="Calibri Light" w:cs="Calibri Light"/>
        </w:rPr>
        <w:t xml:space="preserve">or example, </w:t>
      </w:r>
      <w:r w:rsidRPr="00501A45">
        <w:t>disclosure will only be made to another person if that person has first agreed to treat the information as confidential, or that information will be disclosed for the purpose of obtaining advice (</w:t>
      </w:r>
      <w:r w:rsidR="00F45D41">
        <w:t>such as</w:t>
      </w:r>
      <w:r w:rsidRPr="00501A45">
        <w:t xml:space="preserve"> tax advice)</w:t>
      </w:r>
      <w:r w:rsidRPr="00501A45">
        <w:rPr>
          <w:rFonts w:ascii="Calibri Light" w:hAnsi="Calibri Light" w:cs="Calibri Light"/>
        </w:rPr>
        <w:t xml:space="preserve">. </w:t>
      </w:r>
    </w:p>
    <w:p w14:paraId="00B3C352" w14:textId="77777777" w:rsidR="00E34902" w:rsidRPr="00501A45" w:rsidRDefault="00E34902" w:rsidP="00E34902">
      <w:pPr>
        <w:pStyle w:val="Heading2"/>
        <w:ind w:right="56"/>
      </w:pPr>
      <w:r w:rsidRPr="00501A45">
        <w:lastRenderedPageBreak/>
        <w:t>Other confidentiality requirements</w:t>
      </w:r>
    </w:p>
    <w:p w14:paraId="0B58CEE0" w14:textId="27F84C79" w:rsidR="00E34902" w:rsidRPr="006D0631" w:rsidRDefault="00E34902" w:rsidP="00E34902">
      <w:pPr>
        <w:tabs>
          <w:tab w:val="left" w:pos="6521"/>
          <w:tab w:val="left" w:pos="6804"/>
        </w:tabs>
        <w:ind w:right="56"/>
        <w:rPr>
          <w:rFonts w:ascii="Calibri Light" w:hAnsi="Calibri Light" w:cs="Calibri Light"/>
        </w:rPr>
      </w:pPr>
      <w:r w:rsidRPr="004E3B94">
        <w:rPr>
          <w:rFonts w:ascii="Calibri Light" w:hAnsi="Calibri Light" w:cs="Calibri Light"/>
        </w:rPr>
        <w:t>If the person has existing confidentiality obligations, for example in their employment contract</w:t>
      </w:r>
      <w:r w:rsidR="006120EE">
        <w:rPr>
          <w:rFonts w:ascii="Calibri Light" w:hAnsi="Calibri Light" w:cs="Calibri Light"/>
        </w:rPr>
        <w:t xml:space="preserve"> or as part of a</w:t>
      </w:r>
      <w:r w:rsidR="003052C8">
        <w:rPr>
          <w:rFonts w:ascii="Calibri Light" w:hAnsi="Calibri Light" w:cs="Calibri Light"/>
        </w:rPr>
        <w:t xml:space="preserve"> misconduct investigation or process</w:t>
      </w:r>
      <w:r w:rsidRPr="004E3B94">
        <w:rPr>
          <w:rFonts w:ascii="Calibri Light" w:hAnsi="Calibri Light" w:cs="Calibri Light"/>
        </w:rPr>
        <w:t xml:space="preserve">, the organisation should consider whether these need to be waived, varied or </w:t>
      </w:r>
      <w:r w:rsidRPr="006D0631">
        <w:rPr>
          <w:rFonts w:ascii="Calibri Light" w:hAnsi="Calibri Light" w:cs="Calibri Light"/>
        </w:rPr>
        <w:t xml:space="preserve">otherwise dealt with so that any settlement agreement or confidentiality clause has meaningful operation. </w:t>
      </w:r>
    </w:p>
    <w:p w14:paraId="4F87AFFD" w14:textId="77777777" w:rsidR="008434E2" w:rsidRPr="00501A45" w:rsidRDefault="008434E2" w:rsidP="00901146">
      <w:pPr>
        <w:pStyle w:val="Heading2"/>
        <w:ind w:right="57"/>
      </w:pPr>
      <w:r w:rsidRPr="00501A45">
        <w:t xml:space="preserve">Include an end date and/or a waiver </w:t>
      </w:r>
    </w:p>
    <w:p w14:paraId="4457A18C" w14:textId="13B6B535" w:rsidR="00F45D41" w:rsidRDefault="008434E2" w:rsidP="00901146">
      <w:pPr>
        <w:keepNext/>
        <w:keepLines/>
        <w:spacing w:after="200" w:line="276" w:lineRule="auto"/>
        <w:ind w:right="57"/>
        <w:rPr>
          <w:rFonts w:ascii="Calibri Light" w:hAnsi="Calibri Light" w:cs="Calibri Light"/>
        </w:rPr>
      </w:pPr>
      <w:r w:rsidRPr="00501A45">
        <w:rPr>
          <w:rFonts w:ascii="Calibri Light" w:hAnsi="Calibri Light" w:cs="Calibri Light"/>
        </w:rPr>
        <w:t xml:space="preserve">Confidentiality clauses do not need to be permanent. </w:t>
      </w:r>
    </w:p>
    <w:p w14:paraId="237755A1" w14:textId="34880109" w:rsidR="008434E2" w:rsidRPr="00501A45" w:rsidRDefault="00F45D41" w:rsidP="00901146">
      <w:pPr>
        <w:keepNext/>
        <w:keepLines/>
        <w:spacing w:after="200" w:line="276" w:lineRule="auto"/>
        <w:ind w:right="57"/>
        <w:rPr>
          <w:rFonts w:ascii="Calibri Light" w:hAnsi="Calibri Light" w:cs="Calibri Light"/>
        </w:rPr>
      </w:pPr>
      <w:r>
        <w:rPr>
          <w:rFonts w:ascii="Calibri Light" w:hAnsi="Calibri Light" w:cs="Calibri Light"/>
        </w:rPr>
        <w:t xml:space="preserve">Parties should consider whether a confidentiality clause should </w:t>
      </w:r>
      <w:r w:rsidR="001B36CC">
        <w:rPr>
          <w:rFonts w:ascii="Calibri Light" w:hAnsi="Calibri Light" w:cs="Calibri Light"/>
        </w:rPr>
        <w:t xml:space="preserve">no longer apply after </w:t>
      </w:r>
      <w:r w:rsidR="008434E2" w:rsidRPr="00501A45">
        <w:rPr>
          <w:rFonts w:ascii="Calibri Light" w:hAnsi="Calibri Light" w:cs="Calibri Light"/>
        </w:rPr>
        <w:t>certain events or an agreed period of time</w:t>
      </w:r>
      <w:r>
        <w:rPr>
          <w:rFonts w:ascii="Calibri Light" w:hAnsi="Calibri Light" w:cs="Calibri Light"/>
        </w:rPr>
        <w:t xml:space="preserve"> have passed</w:t>
      </w:r>
      <w:r w:rsidR="008434E2" w:rsidRPr="00501A45">
        <w:rPr>
          <w:rFonts w:ascii="Calibri Light" w:hAnsi="Calibri Light" w:cs="Calibri Light"/>
        </w:rPr>
        <w:t xml:space="preserve">. This </w:t>
      </w:r>
      <w:r w:rsidR="001B36CC">
        <w:rPr>
          <w:rFonts w:ascii="Calibri Light" w:hAnsi="Calibri Light" w:cs="Calibri Light"/>
        </w:rPr>
        <w:t>may</w:t>
      </w:r>
      <w:r w:rsidR="001B36CC" w:rsidRPr="00501A45">
        <w:rPr>
          <w:rFonts w:ascii="Calibri Light" w:hAnsi="Calibri Light" w:cs="Calibri Light"/>
        </w:rPr>
        <w:t xml:space="preserve"> </w:t>
      </w:r>
      <w:r w:rsidR="008434E2" w:rsidRPr="00501A45">
        <w:rPr>
          <w:rFonts w:ascii="Calibri Light" w:hAnsi="Calibri Light" w:cs="Calibri Light"/>
        </w:rPr>
        <w:t xml:space="preserve">accommodate the changing circumstances of a person who does not want information about the underlying incident to be released early on but may decide to speak about their experience in the future. </w:t>
      </w:r>
    </w:p>
    <w:p w14:paraId="76F13F2C" w14:textId="77777777" w:rsidR="00F45D41" w:rsidRPr="00501A45" w:rsidRDefault="00F45D41" w:rsidP="00F45D41">
      <w:pPr>
        <w:pStyle w:val="Heading2"/>
        <w:ind w:right="56"/>
      </w:pPr>
      <w:r w:rsidRPr="00501A45">
        <w:t xml:space="preserve">Future </w:t>
      </w:r>
      <w:r>
        <w:t>incidents and taking action in event of breaches of the settlement agreement</w:t>
      </w:r>
    </w:p>
    <w:p w14:paraId="2011739F" w14:textId="5AE3FEB2" w:rsidR="00F45D41" w:rsidRDefault="00F45D41" w:rsidP="00F45D41">
      <w:pPr>
        <w:tabs>
          <w:tab w:val="left" w:pos="6521"/>
          <w:tab w:val="left" w:pos="6804"/>
        </w:tabs>
        <w:ind w:right="56"/>
        <w:rPr>
          <w:rFonts w:ascii="Calibri Light" w:hAnsi="Calibri Light" w:cs="Calibri Light"/>
        </w:rPr>
      </w:pPr>
      <w:r>
        <w:rPr>
          <w:rFonts w:ascii="Calibri Light" w:hAnsi="Calibri Light" w:cs="Calibri Light"/>
        </w:rPr>
        <w:t>A c</w:t>
      </w:r>
      <w:r w:rsidRPr="00CB5509">
        <w:rPr>
          <w:rFonts w:ascii="Calibri Light" w:hAnsi="Calibri Light" w:cs="Calibri Light"/>
        </w:rPr>
        <w:t xml:space="preserve">onfidentiality clause should not prevent a person </w:t>
      </w:r>
      <w:r w:rsidR="00933E9D">
        <w:rPr>
          <w:rFonts w:ascii="Calibri Light" w:hAnsi="Calibri Light" w:cs="Calibri Light"/>
        </w:rPr>
        <w:t>who made an allegation</w:t>
      </w:r>
      <w:r w:rsidR="00933E9D" w:rsidRPr="00850C99">
        <w:rPr>
          <w:rFonts w:ascii="Calibri Light" w:hAnsi="Calibri Light" w:cs="Calibri Light"/>
        </w:rPr>
        <w:t xml:space="preserve"> </w:t>
      </w:r>
      <w:r w:rsidRPr="00CB5509">
        <w:rPr>
          <w:rFonts w:ascii="Calibri Light" w:hAnsi="Calibri Light" w:cs="Calibri Light"/>
        </w:rPr>
        <w:t xml:space="preserve">from exercising their right to make an allegation of workplace sexual harassment </w:t>
      </w:r>
      <w:r w:rsidR="00DF662E">
        <w:rPr>
          <w:rFonts w:ascii="Calibri Light" w:hAnsi="Calibri Light" w:cs="Calibri Light"/>
        </w:rPr>
        <w:t>about future conduct</w:t>
      </w:r>
      <w:r w:rsidRPr="00CB5509">
        <w:rPr>
          <w:rFonts w:ascii="Calibri Light" w:hAnsi="Calibri Light" w:cs="Calibri Light"/>
        </w:rPr>
        <w:t xml:space="preserve"> or tak</w:t>
      </w:r>
      <w:r w:rsidR="00B937D0">
        <w:rPr>
          <w:rFonts w:ascii="Calibri Light" w:hAnsi="Calibri Light" w:cs="Calibri Light"/>
        </w:rPr>
        <w:t>ing</w:t>
      </w:r>
      <w:r w:rsidRPr="00CB5509">
        <w:rPr>
          <w:rFonts w:ascii="Calibri Light" w:hAnsi="Calibri Light" w:cs="Calibri Light"/>
        </w:rPr>
        <w:t xml:space="preserve"> action for non-compliance with a settlement agreement. </w:t>
      </w:r>
    </w:p>
    <w:p w14:paraId="3097469F" w14:textId="3514F044" w:rsidR="00D76D3A" w:rsidRPr="006D0631" w:rsidDel="00F45D41" w:rsidRDefault="00D76D3A" w:rsidP="006D0631">
      <w:pPr>
        <w:pStyle w:val="Heading2"/>
      </w:pPr>
      <w:r w:rsidRPr="006D0631" w:rsidDel="00F45D41">
        <w:t>Confidentiality clauses do not need to be mutual</w:t>
      </w:r>
    </w:p>
    <w:p w14:paraId="155D759E" w14:textId="6BAE3BD9" w:rsidR="00D76D3A" w:rsidRPr="006D0631" w:rsidDel="00F45D41" w:rsidRDefault="00DA117E" w:rsidP="00E34902">
      <w:pPr>
        <w:tabs>
          <w:tab w:val="left" w:pos="6521"/>
          <w:tab w:val="left" w:pos="6804"/>
        </w:tabs>
        <w:ind w:right="56"/>
        <w:rPr>
          <w:rFonts w:ascii="Calibri Light" w:hAnsi="Calibri Light" w:cs="Calibri Light"/>
        </w:rPr>
      </w:pPr>
      <w:r w:rsidRPr="006D0631" w:rsidDel="00F45D41">
        <w:rPr>
          <w:rFonts w:ascii="Calibri Light" w:hAnsi="Calibri Light" w:cs="Calibri Light"/>
        </w:rPr>
        <w:t xml:space="preserve">In some cases, an organisation may consider that it does not want to disclose information about the complaint or settlement whilst permitting the person who made the allegation to talk about these aspects in some capacity. </w:t>
      </w:r>
      <w:r w:rsidR="001F707C">
        <w:rPr>
          <w:rFonts w:ascii="Calibri Light" w:hAnsi="Calibri Light" w:cs="Calibri Light"/>
        </w:rPr>
        <w:t>For example, a confidentiality clause might permit the person who made the allegation</w:t>
      </w:r>
      <w:r w:rsidR="001F707C" w:rsidRPr="006D0631" w:rsidDel="00F45D41">
        <w:rPr>
          <w:rFonts w:ascii="Calibri Light" w:hAnsi="Calibri Light" w:cs="Calibri Light"/>
        </w:rPr>
        <w:t xml:space="preserve"> </w:t>
      </w:r>
      <w:r w:rsidR="001F707C">
        <w:rPr>
          <w:rFonts w:ascii="Calibri Light" w:hAnsi="Calibri Light" w:cs="Calibri Light"/>
        </w:rPr>
        <w:t>to talk about their experience whilst keeping other details such as the settlement sum or the identity of witnesses confidential.</w:t>
      </w:r>
    </w:p>
    <w:p w14:paraId="2D0D2E84" w14:textId="77777777" w:rsidR="00E34902" w:rsidRPr="00501A45" w:rsidRDefault="00E34902" w:rsidP="00E34902">
      <w:pPr>
        <w:spacing w:after="200" w:line="276" w:lineRule="auto"/>
        <w:ind w:right="56"/>
        <w:rPr>
          <w:rFonts w:ascii="Calibri Light" w:hAnsi="Calibri Light" w:cs="Calibri Light"/>
          <w:b/>
          <w:i/>
        </w:rPr>
      </w:pPr>
      <w:r w:rsidRPr="00501A45">
        <w:rPr>
          <w:rFonts w:ascii="Calibri Light" w:hAnsi="Calibri Light" w:cs="Calibri Light"/>
          <w:b/>
          <w:i/>
        </w:rPr>
        <w:t>Some questions to consider:</w:t>
      </w:r>
    </w:p>
    <w:p w14:paraId="66B6B540" w14:textId="21875869" w:rsidR="008434E2" w:rsidRDefault="00E30B58" w:rsidP="00F3106B">
      <w:pPr>
        <w:pStyle w:val="ListParagraph"/>
        <w:numPr>
          <w:ilvl w:val="0"/>
          <w:numId w:val="13"/>
        </w:numPr>
      </w:pPr>
      <w:r w:rsidRPr="00816E5F">
        <w:t xml:space="preserve">Should some information be able to be shared while other information is kept private? </w:t>
      </w:r>
    </w:p>
    <w:p w14:paraId="6DBE51CC" w14:textId="257D27B4" w:rsidR="00E34902" w:rsidRDefault="00E34902" w:rsidP="00F3106B">
      <w:pPr>
        <w:pStyle w:val="ListParagraph"/>
        <w:numPr>
          <w:ilvl w:val="0"/>
          <w:numId w:val="13"/>
        </w:numPr>
      </w:pPr>
      <w:r w:rsidRPr="004E3B94">
        <w:t>Does the person who made the allegation want to talk to their family members,</w:t>
      </w:r>
      <w:r w:rsidR="00D50CCE">
        <w:t xml:space="preserve"> a </w:t>
      </w:r>
      <w:r w:rsidR="00F913D9">
        <w:t xml:space="preserve">counsellor, </w:t>
      </w:r>
      <w:r w:rsidRPr="004E3B94">
        <w:t>medical or mental health practitioners, regulators or others about the workplace sexual harassment complaint?</w:t>
      </w:r>
    </w:p>
    <w:p w14:paraId="75D2F806" w14:textId="2DAF7311" w:rsidR="00E30B58" w:rsidRPr="004E3B94" w:rsidRDefault="00E30B58" w:rsidP="00F3106B">
      <w:pPr>
        <w:pStyle w:val="ListParagraph"/>
        <w:numPr>
          <w:ilvl w:val="0"/>
          <w:numId w:val="13"/>
        </w:numPr>
      </w:pPr>
      <w:r>
        <w:t>What is an appropriate end date for the confidentiality clause?</w:t>
      </w:r>
      <w:r w:rsidR="006D0631" w:rsidRPr="006D0631">
        <w:t xml:space="preserve"> </w:t>
      </w:r>
      <w:r w:rsidR="006D0631" w:rsidRPr="002125A9">
        <w:t>Might the person who made the allegation want to talk about the allegation at a later stage?</w:t>
      </w:r>
      <w:r w:rsidR="006D0631">
        <w:t xml:space="preserve"> </w:t>
      </w:r>
    </w:p>
    <w:p w14:paraId="7D018C6B" w14:textId="1D12B364" w:rsidR="007B4AB1" w:rsidRPr="004E3B94" w:rsidRDefault="00E30B58" w:rsidP="00F3106B">
      <w:pPr>
        <w:pStyle w:val="ListParagraph"/>
        <w:numPr>
          <w:ilvl w:val="0"/>
          <w:numId w:val="13"/>
        </w:numPr>
      </w:pPr>
      <w:r w:rsidRPr="004E3B94">
        <w:t xml:space="preserve">If </w:t>
      </w:r>
      <w:r w:rsidR="00F45D41">
        <w:t xml:space="preserve">a </w:t>
      </w:r>
      <w:r w:rsidRPr="004E3B94">
        <w:t>confidentiality</w:t>
      </w:r>
      <w:r w:rsidR="00F45D41">
        <w:t xml:space="preserve"> clause</w:t>
      </w:r>
      <w:r w:rsidRPr="004E3B94">
        <w:t xml:space="preserve"> is requested, does it ensure the safety and wellbeing of the person who made the allegation?</w:t>
      </w:r>
    </w:p>
    <w:p w14:paraId="3E174549" w14:textId="60577063" w:rsidR="004F35CD" w:rsidRPr="004E3B94" w:rsidRDefault="004F35CD" w:rsidP="00660D7C">
      <w:pPr>
        <w:pStyle w:val="Heading1"/>
      </w:pPr>
      <w:r w:rsidRPr="004E3B94">
        <w:t>3. Confidentiality clauses should not prevent organisations from responding to systemic issues and providing a safer workplace</w:t>
      </w:r>
    </w:p>
    <w:p w14:paraId="593B5A63" w14:textId="4F370CA9" w:rsidR="00933E9D" w:rsidRPr="00501A45" w:rsidRDefault="00FB69DD" w:rsidP="00933E9D">
      <w:r w:rsidRPr="00184014">
        <w:t>Organisations should strive to build healthy workplace cultures and eliminate workplace sexual harassment, and have a duty to comply with their legal obligations</w:t>
      </w:r>
      <w:r w:rsidR="007278EE">
        <w:rPr>
          <w:rFonts w:cstheme="majorHAnsi"/>
        </w:rPr>
        <w:t xml:space="preserve">. </w:t>
      </w:r>
      <w:r w:rsidR="001E3208" w:rsidRPr="00501A45">
        <w:rPr>
          <w:rFonts w:cstheme="majorHAnsi"/>
        </w:rPr>
        <w:t>Confidentiality clauses that limit or prevent discussion about addressing sexual harassment in the workplace are inconsistent with this objective. If the person who made the allegation requests confidentiality to protect their privacy, the organisation should support the request and work with the person on how the incident could be disclosed</w:t>
      </w:r>
      <w:r w:rsidR="006D0631">
        <w:rPr>
          <w:rFonts w:cstheme="majorHAnsi"/>
        </w:rPr>
        <w:t xml:space="preserve"> or reported </w:t>
      </w:r>
      <w:r w:rsidR="001E3208" w:rsidRPr="00501A45">
        <w:rPr>
          <w:rFonts w:cstheme="majorHAnsi"/>
        </w:rPr>
        <w:t xml:space="preserve">in an appropriate way </w:t>
      </w:r>
      <w:r w:rsidR="00140039">
        <w:rPr>
          <w:rFonts w:cstheme="majorHAnsi"/>
        </w:rPr>
        <w:t>(</w:t>
      </w:r>
      <w:r w:rsidR="001E3208" w:rsidRPr="00501A45">
        <w:rPr>
          <w:rFonts w:cstheme="majorHAnsi"/>
        </w:rPr>
        <w:t>such as with de</w:t>
      </w:r>
      <w:r w:rsidR="00424E0F">
        <w:rPr>
          <w:rFonts w:cstheme="majorHAnsi"/>
        </w:rPr>
        <w:noBreakHyphen/>
      </w:r>
      <w:r w:rsidR="001E3208" w:rsidRPr="00501A45">
        <w:rPr>
          <w:rFonts w:cstheme="majorHAnsi"/>
        </w:rPr>
        <w:t>identified information</w:t>
      </w:r>
      <w:r w:rsidR="00140039">
        <w:rPr>
          <w:rFonts w:cstheme="majorHAnsi"/>
        </w:rPr>
        <w:t>)</w:t>
      </w:r>
      <w:r w:rsidR="001E3208" w:rsidRPr="00501A45">
        <w:rPr>
          <w:rFonts w:cstheme="majorHAnsi"/>
        </w:rPr>
        <w:t xml:space="preserve"> for the purpose of addressing systemic issues and providing a safer workplace.</w:t>
      </w:r>
      <w:r w:rsidR="00933E9D">
        <w:t xml:space="preserve"> </w:t>
      </w:r>
    </w:p>
    <w:p w14:paraId="18E5EBAA" w14:textId="1CEAC89E" w:rsidR="001E3208" w:rsidRPr="00501A45" w:rsidRDefault="001E3208" w:rsidP="001E3208">
      <w:pPr>
        <w:spacing w:after="200" w:line="276" w:lineRule="auto"/>
        <w:ind w:right="56"/>
        <w:rPr>
          <w:rFonts w:ascii="Calibri Light" w:hAnsi="Calibri Light" w:cs="Calibri Light"/>
        </w:rPr>
      </w:pPr>
      <w:r w:rsidRPr="00501A45">
        <w:rPr>
          <w:rFonts w:ascii="Calibri Light" w:hAnsi="Calibri Light" w:cs="Calibri Light"/>
        </w:rPr>
        <w:t xml:space="preserve">Confidentiality clauses should </w:t>
      </w:r>
      <w:r w:rsidR="006D02CA">
        <w:rPr>
          <w:rFonts w:ascii="Calibri Light" w:hAnsi="Calibri Light" w:cs="Calibri Light"/>
        </w:rPr>
        <w:t>not</w:t>
      </w:r>
      <w:r w:rsidR="006D02CA" w:rsidRPr="00501A45">
        <w:rPr>
          <w:rFonts w:ascii="Calibri Light" w:hAnsi="Calibri Light" w:cs="Calibri Light"/>
        </w:rPr>
        <w:t xml:space="preserve"> </w:t>
      </w:r>
      <w:r w:rsidR="000E2C8C">
        <w:rPr>
          <w:rFonts w:ascii="Calibri Light" w:hAnsi="Calibri Light" w:cs="Calibri Light"/>
        </w:rPr>
        <w:t>seek to</w:t>
      </w:r>
      <w:r w:rsidRPr="00501A45">
        <w:rPr>
          <w:rFonts w:ascii="Calibri Light" w:hAnsi="Calibri Light" w:cs="Calibri Light"/>
        </w:rPr>
        <w:t xml:space="preserve"> protect the alleged harasser or the reputation of the organisation</w:t>
      </w:r>
      <w:r w:rsidR="006D02CA">
        <w:rPr>
          <w:rFonts w:ascii="Calibri Light" w:hAnsi="Calibri Light" w:cs="Calibri Light"/>
        </w:rPr>
        <w:t xml:space="preserve"> if this would</w:t>
      </w:r>
      <w:r w:rsidRPr="00501A45">
        <w:rPr>
          <w:rFonts w:ascii="Calibri Light" w:hAnsi="Calibri Light" w:cs="Calibri Light"/>
        </w:rPr>
        <w:t xml:space="preserve"> enable unsafe or harmful workplace conduct to continue. </w:t>
      </w:r>
      <w:r w:rsidR="006A28E3">
        <w:rPr>
          <w:rFonts w:ascii="Calibri Light" w:hAnsi="Calibri Light" w:cs="Calibri Light"/>
        </w:rPr>
        <w:t>Where possible, t</w:t>
      </w:r>
      <w:r w:rsidR="00555C2F">
        <w:rPr>
          <w:rFonts w:ascii="Calibri Light" w:hAnsi="Calibri Light" w:cs="Calibri Light"/>
        </w:rPr>
        <w:t>hey should also not prevent a person who has made an allegation from participating in internal or external surveys, reviews or investigations</w:t>
      </w:r>
      <w:r w:rsidR="006A28E3">
        <w:rPr>
          <w:rFonts w:ascii="Calibri Light" w:hAnsi="Calibri Light" w:cs="Calibri Light"/>
        </w:rPr>
        <w:t xml:space="preserve"> that deal with culture and systemic issues</w:t>
      </w:r>
      <w:r w:rsidR="00555C2F">
        <w:rPr>
          <w:rFonts w:ascii="Calibri Light" w:hAnsi="Calibri Light" w:cs="Calibri Light"/>
        </w:rPr>
        <w:t xml:space="preserve">. </w:t>
      </w:r>
      <w:r w:rsidRPr="00501A45">
        <w:rPr>
          <w:rFonts w:ascii="Calibri Light" w:hAnsi="Calibri Light" w:cs="Calibri Light"/>
        </w:rPr>
        <w:t xml:space="preserve">By adopting strategies for the appropriate disclosure of information about the incidence of sexual harassment in workplaces and how the organisation responds to </w:t>
      </w:r>
      <w:r w:rsidRPr="00501A45">
        <w:rPr>
          <w:rFonts w:ascii="Calibri Light" w:hAnsi="Calibri Light" w:cs="Calibri Light"/>
        </w:rPr>
        <w:lastRenderedPageBreak/>
        <w:t xml:space="preserve">complaints, </w:t>
      </w:r>
      <w:r w:rsidR="000E2C8C">
        <w:rPr>
          <w:rFonts w:ascii="Calibri Light" w:hAnsi="Calibri Light" w:cs="Calibri Light"/>
        </w:rPr>
        <w:t xml:space="preserve">an </w:t>
      </w:r>
      <w:r w:rsidRPr="00501A45">
        <w:rPr>
          <w:rFonts w:ascii="Calibri Light" w:hAnsi="Calibri Light" w:cs="Calibri Light"/>
        </w:rPr>
        <w:t xml:space="preserve">organisation can position </w:t>
      </w:r>
      <w:r w:rsidR="000E2C8C">
        <w:rPr>
          <w:rFonts w:ascii="Calibri Light" w:hAnsi="Calibri Light" w:cs="Calibri Light"/>
        </w:rPr>
        <w:t>itself</w:t>
      </w:r>
      <w:r w:rsidR="000E2C8C" w:rsidRPr="00501A45">
        <w:rPr>
          <w:rFonts w:ascii="Calibri Light" w:hAnsi="Calibri Light" w:cs="Calibri Light"/>
        </w:rPr>
        <w:t xml:space="preserve"> </w:t>
      </w:r>
      <w:r w:rsidRPr="00501A45">
        <w:rPr>
          <w:rFonts w:ascii="Calibri Light" w:hAnsi="Calibri Light" w:cs="Calibri Light"/>
        </w:rPr>
        <w:t xml:space="preserve">as </w:t>
      </w:r>
      <w:r w:rsidR="000E2C8C">
        <w:rPr>
          <w:rFonts w:ascii="Calibri Light" w:hAnsi="Calibri Light" w:cs="Calibri Light"/>
        </w:rPr>
        <w:t xml:space="preserve">a </w:t>
      </w:r>
      <w:r w:rsidRPr="00501A45">
        <w:rPr>
          <w:rFonts w:ascii="Calibri Light" w:hAnsi="Calibri Light" w:cs="Calibri Light"/>
        </w:rPr>
        <w:t xml:space="preserve">promoter of a safe workplace culture that takes its responsibility to </w:t>
      </w:r>
      <w:r w:rsidR="000E2C8C">
        <w:rPr>
          <w:rFonts w:ascii="Calibri Light" w:hAnsi="Calibri Light" w:cs="Calibri Light"/>
        </w:rPr>
        <w:t>address</w:t>
      </w:r>
      <w:r w:rsidRPr="00501A45">
        <w:rPr>
          <w:rFonts w:ascii="Calibri Light" w:hAnsi="Calibri Light" w:cs="Calibri Light"/>
        </w:rPr>
        <w:t xml:space="preserve"> sexual harassment seriously.</w:t>
      </w:r>
    </w:p>
    <w:p w14:paraId="53785645" w14:textId="57BF9958" w:rsidR="006D0631" w:rsidRDefault="00933E9D" w:rsidP="001E3208">
      <w:pPr>
        <w:spacing w:after="200" w:line="276" w:lineRule="auto"/>
        <w:ind w:right="56"/>
        <w:rPr>
          <w:rFonts w:ascii="Calibri Light" w:hAnsi="Calibri Light" w:cs="Calibri Light"/>
        </w:rPr>
      </w:pPr>
      <w:r>
        <w:rPr>
          <w:rFonts w:ascii="Calibri Light" w:hAnsi="Calibri Light" w:cs="Calibri Light"/>
        </w:rPr>
        <w:t>O</w:t>
      </w:r>
      <w:r w:rsidR="001E3208" w:rsidRPr="00501A45">
        <w:rPr>
          <w:rFonts w:ascii="Calibri Light" w:hAnsi="Calibri Light" w:cs="Calibri Light"/>
        </w:rPr>
        <w:t xml:space="preserve">rganisations must </w:t>
      </w:r>
      <w:r>
        <w:rPr>
          <w:rFonts w:ascii="Calibri Light" w:hAnsi="Calibri Light" w:cs="Calibri Light"/>
        </w:rPr>
        <w:t xml:space="preserve">also </w:t>
      </w:r>
      <w:r w:rsidR="001E3208" w:rsidRPr="00501A45">
        <w:rPr>
          <w:rFonts w:ascii="Calibri Light" w:hAnsi="Calibri Light" w:cs="Calibri Light"/>
        </w:rPr>
        <w:t xml:space="preserve">comply with their obligations under the </w:t>
      </w:r>
      <w:r w:rsidR="001E3208" w:rsidRPr="00501A45">
        <w:rPr>
          <w:rFonts w:ascii="Calibri Light" w:hAnsi="Calibri Light" w:cs="Calibri Light"/>
          <w:i/>
        </w:rPr>
        <w:t>Fair Work Act 2009</w:t>
      </w:r>
      <w:r w:rsidR="001E3208" w:rsidRPr="00501A45">
        <w:rPr>
          <w:rFonts w:ascii="Calibri Light" w:hAnsi="Calibri Light" w:cs="Calibri Light"/>
        </w:rPr>
        <w:t xml:space="preserve"> </w:t>
      </w:r>
      <w:r w:rsidR="00140039">
        <w:rPr>
          <w:rFonts w:ascii="Calibri Light" w:hAnsi="Calibri Light" w:cs="Calibri Light"/>
        </w:rPr>
        <w:t xml:space="preserve">(Cth) </w:t>
      </w:r>
      <w:r w:rsidR="001E3208" w:rsidRPr="00501A45">
        <w:rPr>
          <w:rFonts w:ascii="Calibri Light" w:hAnsi="Calibri Light" w:cs="Calibri Light"/>
        </w:rPr>
        <w:t xml:space="preserve">and discrimination laws, including the </w:t>
      </w:r>
      <w:r w:rsidR="001E3208" w:rsidRPr="00501A45">
        <w:rPr>
          <w:rFonts w:ascii="Calibri Light" w:hAnsi="Calibri Light" w:cs="Calibri Light"/>
          <w:i/>
        </w:rPr>
        <w:t>Sex Discrimination Act 1984</w:t>
      </w:r>
      <w:r w:rsidR="00140039">
        <w:rPr>
          <w:rFonts w:ascii="Calibri Light" w:hAnsi="Calibri Light" w:cs="Calibri Light"/>
          <w:i/>
        </w:rPr>
        <w:t xml:space="preserve"> </w:t>
      </w:r>
      <w:r w:rsidR="00140039" w:rsidRPr="00140039">
        <w:rPr>
          <w:rFonts w:ascii="Calibri Light" w:hAnsi="Calibri Light" w:cs="Calibri Light"/>
        </w:rPr>
        <w:t>(Cth)</w:t>
      </w:r>
      <w:r w:rsidR="001E3208" w:rsidRPr="00140039">
        <w:rPr>
          <w:rFonts w:ascii="Calibri Light" w:hAnsi="Calibri Light" w:cs="Calibri Light"/>
        </w:rPr>
        <w:t>,</w:t>
      </w:r>
      <w:r w:rsidR="001E3208" w:rsidRPr="00501A45">
        <w:rPr>
          <w:rFonts w:ascii="Calibri Light" w:hAnsi="Calibri Light" w:cs="Calibri Light"/>
        </w:rPr>
        <w:t xml:space="preserve"> as well as WHS laws</w:t>
      </w:r>
      <w:r w:rsidR="006E6335">
        <w:rPr>
          <w:rFonts w:ascii="Calibri Light" w:hAnsi="Calibri Light" w:cs="Calibri Light"/>
        </w:rPr>
        <w:t>.</w:t>
      </w:r>
      <w:r w:rsidR="001D40C4">
        <w:rPr>
          <w:rFonts w:ascii="Calibri Light" w:hAnsi="Calibri Light" w:cs="Calibri Light"/>
        </w:rPr>
        <w:t xml:space="preserve"> </w:t>
      </w:r>
      <w:r w:rsidR="001E3208" w:rsidRPr="00501A45">
        <w:rPr>
          <w:rFonts w:ascii="Calibri Light" w:hAnsi="Calibri Light" w:cs="Calibri Light"/>
        </w:rPr>
        <w:t xml:space="preserve"> </w:t>
      </w:r>
    </w:p>
    <w:p w14:paraId="478E9CB8" w14:textId="068FBDFD" w:rsidR="001E3208" w:rsidRPr="00501A45" w:rsidRDefault="00933E9D" w:rsidP="006D0631">
      <w:pPr>
        <w:keepNext/>
        <w:spacing w:after="200" w:line="276" w:lineRule="auto"/>
        <w:ind w:right="57"/>
        <w:rPr>
          <w:rFonts w:ascii="Calibri Light" w:hAnsi="Calibri Light" w:cs="Calibri Light"/>
        </w:rPr>
      </w:pPr>
      <w:r>
        <w:rPr>
          <w:rFonts w:ascii="Calibri Light" w:hAnsi="Calibri Light" w:cs="Calibri Light"/>
        </w:rPr>
        <w:t xml:space="preserve">When considering the use of a confidentiality clause, organisations should ensure that it does not prevent them from: </w:t>
      </w:r>
    </w:p>
    <w:p w14:paraId="451F0F04" w14:textId="75BFB07F" w:rsidR="001E3208" w:rsidRPr="00501A45" w:rsidRDefault="001E3208" w:rsidP="00F3106B">
      <w:pPr>
        <w:pStyle w:val="ListParagraph"/>
        <w:keepNext/>
        <w:numPr>
          <w:ilvl w:val="0"/>
          <w:numId w:val="8"/>
        </w:numPr>
        <w:spacing w:after="200" w:line="276" w:lineRule="auto"/>
        <w:ind w:left="426" w:right="57"/>
        <w:rPr>
          <w:rFonts w:ascii="Calibri Light" w:hAnsi="Calibri Light" w:cs="Calibri Light"/>
        </w:rPr>
      </w:pPr>
      <w:r w:rsidRPr="00501A45">
        <w:rPr>
          <w:rFonts w:ascii="Calibri Light" w:hAnsi="Calibri Light" w:cs="Calibri Light"/>
        </w:rPr>
        <w:t>communicating with the person who made the allegation about what the organisation intends to do to prevent repeat conduct and promot</w:t>
      </w:r>
      <w:r w:rsidR="006D02CA">
        <w:rPr>
          <w:rFonts w:ascii="Calibri Light" w:hAnsi="Calibri Light" w:cs="Calibri Light"/>
        </w:rPr>
        <w:t>e</w:t>
      </w:r>
      <w:r w:rsidRPr="00501A45">
        <w:rPr>
          <w:rFonts w:ascii="Calibri Light" w:hAnsi="Calibri Light" w:cs="Calibri Light"/>
        </w:rPr>
        <w:t xml:space="preserve"> a healthy workplace culture</w:t>
      </w:r>
      <w:r w:rsidR="00933E9D">
        <w:rPr>
          <w:rFonts w:ascii="Calibri Light" w:hAnsi="Calibri Light" w:cs="Calibri Light"/>
        </w:rPr>
        <w:t xml:space="preserve"> (if the person wants this);</w:t>
      </w:r>
    </w:p>
    <w:p w14:paraId="2D8B7775" w14:textId="119F6CB2" w:rsidR="001F707C" w:rsidRDefault="006A28E3" w:rsidP="001F707C">
      <w:pPr>
        <w:pStyle w:val="ListParagraph"/>
        <w:keepNext/>
        <w:numPr>
          <w:ilvl w:val="0"/>
          <w:numId w:val="8"/>
        </w:numPr>
        <w:spacing w:after="200" w:line="276" w:lineRule="auto"/>
        <w:ind w:left="426" w:right="57"/>
        <w:rPr>
          <w:rFonts w:ascii="Calibri Light" w:hAnsi="Calibri Light" w:cs="Calibri Light"/>
        </w:rPr>
      </w:pPr>
      <w:r>
        <w:rPr>
          <w:rFonts w:ascii="Calibri Light" w:hAnsi="Calibri Light" w:cs="Calibri Light"/>
        </w:rPr>
        <w:t xml:space="preserve">where possible, </w:t>
      </w:r>
      <w:r w:rsidR="001F707C">
        <w:rPr>
          <w:rFonts w:ascii="Calibri Light" w:hAnsi="Calibri Light" w:cs="Calibri Light"/>
        </w:rPr>
        <w:t xml:space="preserve">allowing people who have made allegations to participate in </w:t>
      </w:r>
      <w:r w:rsidR="001F707C">
        <w:rPr>
          <w:rFonts w:ascii="Calibri Light" w:hAnsi="Calibri Light" w:cs="Calibri Light"/>
          <w:lang w:val="en-GB"/>
        </w:rPr>
        <w:t xml:space="preserve">organisational surveys, reviews or investigations </w:t>
      </w:r>
      <w:r>
        <w:rPr>
          <w:rFonts w:ascii="Calibri Light" w:hAnsi="Calibri Light" w:cs="Calibri Light"/>
          <w:lang w:val="en-GB"/>
        </w:rPr>
        <w:t xml:space="preserve">that deal with culture and systemic issues </w:t>
      </w:r>
      <w:r w:rsidR="001F707C">
        <w:rPr>
          <w:rFonts w:ascii="Calibri Light" w:hAnsi="Calibri Light" w:cs="Calibri Light"/>
          <w:lang w:val="en-GB"/>
        </w:rPr>
        <w:t>(whether internal or external) should they wish to;</w:t>
      </w:r>
    </w:p>
    <w:p w14:paraId="5A7291CD" w14:textId="77777777" w:rsidR="001F707C" w:rsidRDefault="001F707C" w:rsidP="001F707C">
      <w:pPr>
        <w:pStyle w:val="ListParagraph"/>
        <w:keepNext/>
        <w:numPr>
          <w:ilvl w:val="0"/>
          <w:numId w:val="8"/>
        </w:numPr>
        <w:spacing w:after="200" w:line="276" w:lineRule="auto"/>
        <w:ind w:left="426" w:right="57"/>
        <w:rPr>
          <w:rFonts w:ascii="Calibri Light" w:hAnsi="Calibri Light" w:cs="Calibri Light"/>
        </w:rPr>
      </w:pPr>
      <w:r>
        <w:rPr>
          <w:rFonts w:ascii="Calibri Light" w:hAnsi="Calibri Light" w:cs="Calibri Light"/>
        </w:rPr>
        <w:t>reporting data and de-identified information on the incidence of sexual harassment in the workplace to management, boards and relevant authorities;</w:t>
      </w:r>
    </w:p>
    <w:p w14:paraId="78505E8E" w14:textId="77777777" w:rsidR="001F707C" w:rsidRPr="00501A45" w:rsidRDefault="001F707C" w:rsidP="001F707C">
      <w:pPr>
        <w:pStyle w:val="ListParagraph"/>
        <w:keepNext/>
        <w:numPr>
          <w:ilvl w:val="0"/>
          <w:numId w:val="8"/>
        </w:numPr>
        <w:spacing w:after="200" w:line="276" w:lineRule="auto"/>
        <w:ind w:left="426" w:right="57"/>
        <w:rPr>
          <w:rFonts w:ascii="Calibri Light" w:hAnsi="Calibri Light" w:cs="Calibri Light"/>
        </w:rPr>
      </w:pPr>
      <w:r>
        <w:rPr>
          <w:rFonts w:ascii="Calibri Light" w:hAnsi="Calibri Light" w:cs="Calibri Light"/>
        </w:rPr>
        <w:t xml:space="preserve">dealing with systemic issues, repeat offenders or repeated conduct, and </w:t>
      </w:r>
      <w:r w:rsidRPr="00B22210">
        <w:rPr>
          <w:rFonts w:eastAsia="Times New Roman" w:cstheme="majorHAnsi"/>
        </w:rPr>
        <w:t>providing a safer workplace</w:t>
      </w:r>
      <w:r>
        <w:rPr>
          <w:rFonts w:eastAsia="Times New Roman" w:cstheme="majorHAnsi"/>
        </w:rPr>
        <w:t>;</w:t>
      </w:r>
    </w:p>
    <w:p w14:paraId="538FF3EE" w14:textId="36534F81" w:rsidR="001E3208" w:rsidRDefault="001E3208" w:rsidP="00F3106B">
      <w:pPr>
        <w:pStyle w:val="ListParagraph"/>
        <w:numPr>
          <w:ilvl w:val="0"/>
          <w:numId w:val="8"/>
        </w:numPr>
        <w:spacing w:after="200" w:line="276" w:lineRule="auto"/>
        <w:ind w:left="426" w:right="56"/>
        <w:rPr>
          <w:rFonts w:ascii="Calibri Light" w:hAnsi="Calibri Light" w:cs="Calibri Light"/>
        </w:rPr>
      </w:pPr>
      <w:r w:rsidRPr="00501A45">
        <w:rPr>
          <w:rFonts w:ascii="Calibri Light" w:hAnsi="Calibri Light" w:cs="Calibri Light"/>
        </w:rPr>
        <w:t>communicating with staff about sexual harassment as a workplace health and safety issue, and asking questions and seeking feedback about ways to improve preventative measures and other initiatives</w:t>
      </w:r>
      <w:r w:rsidR="00933E9D">
        <w:rPr>
          <w:rFonts w:ascii="Calibri Light" w:hAnsi="Calibri Light" w:cs="Calibri Light"/>
        </w:rPr>
        <w:t xml:space="preserve">; </w:t>
      </w:r>
      <w:r w:rsidR="000B1F4E">
        <w:rPr>
          <w:rFonts w:ascii="Calibri Light" w:hAnsi="Calibri Light" w:cs="Calibri Light"/>
        </w:rPr>
        <w:t>and</w:t>
      </w:r>
      <w:r w:rsidR="00933E9D">
        <w:rPr>
          <w:rFonts w:ascii="Calibri Light" w:hAnsi="Calibri Light" w:cs="Calibri Light"/>
        </w:rPr>
        <w:t xml:space="preserve"> </w:t>
      </w:r>
    </w:p>
    <w:p w14:paraId="133082C7" w14:textId="6D6B9389" w:rsidR="00933E9D" w:rsidRPr="00501A45" w:rsidRDefault="00933E9D" w:rsidP="00F3106B">
      <w:pPr>
        <w:pStyle w:val="ListParagraph"/>
        <w:numPr>
          <w:ilvl w:val="0"/>
          <w:numId w:val="8"/>
        </w:numPr>
        <w:spacing w:after="200" w:line="276" w:lineRule="auto"/>
        <w:ind w:left="426" w:right="56"/>
        <w:rPr>
          <w:rFonts w:ascii="Calibri Light" w:hAnsi="Calibri Light" w:cs="Calibri Light"/>
        </w:rPr>
      </w:pPr>
      <w:r w:rsidRPr="00501A45">
        <w:rPr>
          <w:rFonts w:ascii="Calibri Light" w:hAnsi="Calibri Light" w:cs="Calibri Light"/>
        </w:rPr>
        <w:t>regularly reviewing and updating dispute processes concerning allegations of sexual harassment and other processes that might help stop and prevent harmful behaviour</w:t>
      </w:r>
      <w:r>
        <w:rPr>
          <w:rFonts w:ascii="Calibri Light" w:hAnsi="Calibri Light" w:cs="Calibri Light"/>
        </w:rPr>
        <w:t>.</w:t>
      </w:r>
    </w:p>
    <w:p w14:paraId="12CDC2D3" w14:textId="5E1735C3" w:rsidR="00933E9D" w:rsidRPr="006D0631" w:rsidRDefault="00933E9D" w:rsidP="006D0631">
      <w:pPr>
        <w:keepNext/>
        <w:spacing w:after="200" w:line="276" w:lineRule="auto"/>
        <w:ind w:right="57"/>
        <w:rPr>
          <w:rFonts w:ascii="Calibri Light" w:hAnsi="Calibri Light" w:cs="Calibri Light"/>
        </w:rPr>
      </w:pPr>
      <w:r>
        <w:rPr>
          <w:rFonts w:ascii="Calibri Light" w:hAnsi="Calibri Light" w:cs="Calibri Light"/>
        </w:rPr>
        <w:t>Organisations should also take a proactive approach to considering their use of confidentiality clauses in settlement agreements more generally, including:</w:t>
      </w:r>
    </w:p>
    <w:p w14:paraId="5DDA04DC" w14:textId="7A31F7B5" w:rsidR="001E3208" w:rsidRPr="00501A45" w:rsidRDefault="001E3208" w:rsidP="00F3106B">
      <w:pPr>
        <w:pStyle w:val="ListParagraph"/>
        <w:keepNext/>
        <w:numPr>
          <w:ilvl w:val="0"/>
          <w:numId w:val="8"/>
        </w:numPr>
        <w:spacing w:after="200" w:line="276" w:lineRule="auto"/>
        <w:ind w:left="426" w:right="57"/>
        <w:rPr>
          <w:rFonts w:ascii="Calibri Light" w:hAnsi="Calibri Light" w:cs="Calibri Light"/>
        </w:rPr>
      </w:pPr>
      <w:r w:rsidRPr="00501A45">
        <w:rPr>
          <w:rFonts w:ascii="Calibri Light" w:hAnsi="Calibri Light" w:cs="Calibri Light"/>
        </w:rPr>
        <w:t xml:space="preserve">developing protocols, policies and procedures to guide how confidentiality clauses are used during </w:t>
      </w:r>
      <w:r w:rsidR="00933E9D">
        <w:rPr>
          <w:rFonts w:ascii="Calibri Light" w:hAnsi="Calibri Light" w:cs="Calibri Light"/>
        </w:rPr>
        <w:t>settlement</w:t>
      </w:r>
      <w:r w:rsidR="00933E9D" w:rsidRPr="00501A45">
        <w:rPr>
          <w:rFonts w:ascii="Calibri Light" w:hAnsi="Calibri Light" w:cs="Calibri Light"/>
        </w:rPr>
        <w:t xml:space="preserve"> </w:t>
      </w:r>
      <w:r w:rsidRPr="00501A45">
        <w:rPr>
          <w:rFonts w:ascii="Calibri Light" w:hAnsi="Calibri Light" w:cs="Calibri Light"/>
        </w:rPr>
        <w:t>agreements; and</w:t>
      </w:r>
    </w:p>
    <w:p w14:paraId="0FF957F9" w14:textId="12D4B251" w:rsidR="001E3208" w:rsidRPr="00501A45" w:rsidRDefault="001E3208" w:rsidP="00F3106B">
      <w:pPr>
        <w:pStyle w:val="ListParagraph"/>
        <w:numPr>
          <w:ilvl w:val="0"/>
          <w:numId w:val="8"/>
        </w:numPr>
        <w:spacing w:after="200" w:line="276" w:lineRule="auto"/>
        <w:ind w:left="426" w:right="56"/>
        <w:rPr>
          <w:rFonts w:ascii="Calibri Light" w:hAnsi="Calibri Light" w:cs="Calibri Light"/>
        </w:rPr>
      </w:pPr>
      <w:r w:rsidRPr="00501A45">
        <w:rPr>
          <w:rFonts w:ascii="Calibri Light" w:hAnsi="Calibri Light" w:cs="Calibri Light"/>
        </w:rPr>
        <w:t xml:space="preserve">creating a leadership/board communication strategy to ensure that confidentiality clauses do not prevent oversight by </w:t>
      </w:r>
      <w:r w:rsidR="008C5444">
        <w:rPr>
          <w:rFonts w:ascii="Calibri Light" w:hAnsi="Calibri Light" w:cs="Calibri Light"/>
        </w:rPr>
        <w:t xml:space="preserve">leaders (including managers and executive) </w:t>
      </w:r>
      <w:r w:rsidRPr="00501A45">
        <w:rPr>
          <w:rFonts w:ascii="Calibri Light" w:hAnsi="Calibri Light" w:cs="Calibri Light"/>
        </w:rPr>
        <w:t>and boards.</w:t>
      </w:r>
    </w:p>
    <w:p w14:paraId="0B65C297" w14:textId="7F150DFD" w:rsidR="00DC7943" w:rsidRPr="00A72352" w:rsidRDefault="00DC7943" w:rsidP="00A72352">
      <w:pPr>
        <w:pStyle w:val="Heading2"/>
      </w:pPr>
      <w:r>
        <w:t xml:space="preserve">Data and reporting </w:t>
      </w:r>
    </w:p>
    <w:p w14:paraId="2177E571" w14:textId="13DBC8F0" w:rsidR="00DC7943" w:rsidRDefault="00DC7943" w:rsidP="00643091">
      <w:pPr>
        <w:spacing w:after="200" w:line="276" w:lineRule="auto"/>
        <w:ind w:right="56"/>
        <w:rPr>
          <w:rFonts w:ascii="Calibri Light" w:hAnsi="Calibri Light" w:cs="Calibri Light"/>
        </w:rPr>
      </w:pPr>
      <w:r w:rsidRPr="00501A45">
        <w:rPr>
          <w:rFonts w:ascii="Calibri Light" w:hAnsi="Calibri Light" w:cs="Calibri Light"/>
        </w:rPr>
        <w:t xml:space="preserve">Confidentiality clauses </w:t>
      </w:r>
      <w:r w:rsidR="00E847D0">
        <w:rPr>
          <w:rFonts w:ascii="Calibri Light" w:hAnsi="Calibri Light" w:cs="Calibri Light"/>
        </w:rPr>
        <w:t>should</w:t>
      </w:r>
      <w:r w:rsidR="000E4EF2" w:rsidRPr="00501A45">
        <w:rPr>
          <w:rFonts w:ascii="Calibri Light" w:hAnsi="Calibri Light" w:cs="Calibri Light"/>
        </w:rPr>
        <w:t xml:space="preserve"> </w:t>
      </w:r>
      <w:r w:rsidR="001B36CC">
        <w:rPr>
          <w:rFonts w:ascii="Calibri Light" w:hAnsi="Calibri Light" w:cs="Calibri Light"/>
        </w:rPr>
        <w:t>not prevent</w:t>
      </w:r>
      <w:r w:rsidR="001B36CC" w:rsidRPr="00501A45">
        <w:rPr>
          <w:rFonts w:ascii="Calibri Light" w:hAnsi="Calibri Light" w:cs="Calibri Light"/>
        </w:rPr>
        <w:t xml:space="preserve"> </w:t>
      </w:r>
      <w:r w:rsidRPr="00501A45">
        <w:rPr>
          <w:rFonts w:ascii="Calibri Light" w:hAnsi="Calibri Light" w:cs="Calibri Light"/>
        </w:rPr>
        <w:t xml:space="preserve">the employer </w:t>
      </w:r>
      <w:r w:rsidR="001B36CC">
        <w:rPr>
          <w:rFonts w:ascii="Calibri Light" w:hAnsi="Calibri Light" w:cs="Calibri Light"/>
        </w:rPr>
        <w:t xml:space="preserve">from </w:t>
      </w:r>
      <w:r w:rsidRPr="00501A45">
        <w:rPr>
          <w:rFonts w:ascii="Calibri Light" w:hAnsi="Calibri Light" w:cs="Calibri Light"/>
        </w:rPr>
        <w:t>disclos</w:t>
      </w:r>
      <w:r w:rsidR="001B36CC">
        <w:rPr>
          <w:rFonts w:ascii="Calibri Light" w:hAnsi="Calibri Light" w:cs="Calibri Light"/>
        </w:rPr>
        <w:t>ing</w:t>
      </w:r>
      <w:r w:rsidRPr="00501A45">
        <w:rPr>
          <w:rFonts w:ascii="Calibri Light" w:hAnsi="Calibri Light" w:cs="Calibri Light"/>
        </w:rPr>
        <w:t xml:space="preserve"> aggregate or de-identified information, especially where there is a public interest, and for the purposes of data collection, to relevant authorities including </w:t>
      </w:r>
      <w:r w:rsidR="000E2C8C">
        <w:rPr>
          <w:rFonts w:ascii="Calibri Light" w:hAnsi="Calibri Light" w:cs="Calibri Light"/>
        </w:rPr>
        <w:t>WHS</w:t>
      </w:r>
      <w:r w:rsidRPr="00501A45">
        <w:rPr>
          <w:rFonts w:ascii="Calibri Light" w:hAnsi="Calibri Light" w:cs="Calibri Light"/>
        </w:rPr>
        <w:t xml:space="preserve"> regulators, the Australian Human Rights Commission, and statutory authorities such as the Workplace Gender Equality </w:t>
      </w:r>
      <w:r w:rsidR="000E4EF2">
        <w:rPr>
          <w:rFonts w:ascii="Calibri Light" w:hAnsi="Calibri Light" w:cs="Calibri Light"/>
        </w:rPr>
        <w:t>Agency</w:t>
      </w:r>
      <w:r w:rsidRPr="00501A45">
        <w:rPr>
          <w:rFonts w:ascii="Calibri Light" w:hAnsi="Calibri Light" w:cs="Calibri Light"/>
        </w:rPr>
        <w:t>.</w:t>
      </w:r>
    </w:p>
    <w:p w14:paraId="04D4193F" w14:textId="67F3D78E" w:rsidR="00DD554F" w:rsidRPr="00501A45" w:rsidRDefault="00E847D0" w:rsidP="00643091">
      <w:pPr>
        <w:spacing w:after="200" w:line="276" w:lineRule="auto"/>
        <w:ind w:right="56"/>
        <w:rPr>
          <w:rFonts w:ascii="Calibri Light" w:hAnsi="Calibri Light" w:cs="Calibri Light"/>
        </w:rPr>
      </w:pPr>
      <w:r>
        <w:rPr>
          <w:rFonts w:ascii="Calibri Light" w:hAnsi="Calibri Light" w:cs="Calibri Light"/>
        </w:rPr>
        <w:t xml:space="preserve">There may be other circumstances where a party is required to disclose information subject to a confidentiality clause, such as in a law enforcement context. </w:t>
      </w:r>
    </w:p>
    <w:p w14:paraId="2BEE4F6A" w14:textId="1D1D80B5" w:rsidR="00A72352" w:rsidRDefault="00A72352" w:rsidP="00A72352">
      <w:pPr>
        <w:pStyle w:val="Heading2"/>
        <w:rPr>
          <w:rFonts w:ascii="Calibri Light" w:hAnsi="Calibri Light" w:cs="Calibri Light"/>
        </w:rPr>
      </w:pPr>
      <w:r>
        <w:rPr>
          <w:rFonts w:ascii="Calibri Light" w:hAnsi="Calibri Light" w:cs="Calibri Light"/>
        </w:rPr>
        <w:t>Confidentiality clauses and future employment references</w:t>
      </w:r>
    </w:p>
    <w:p w14:paraId="70696CDF" w14:textId="1E920067" w:rsidR="00A72352" w:rsidRPr="00501A45" w:rsidRDefault="00A72352" w:rsidP="00A72352">
      <w:pPr>
        <w:ind w:right="56"/>
        <w:rPr>
          <w:rFonts w:ascii="Calibri Light" w:hAnsi="Calibri Light" w:cs="Calibri Light"/>
        </w:rPr>
      </w:pPr>
      <w:r w:rsidRPr="00501A45">
        <w:rPr>
          <w:rFonts w:ascii="Calibri Light" w:hAnsi="Calibri Light" w:cs="Calibri Light"/>
        </w:rPr>
        <w:t xml:space="preserve">Resolving an allegation of sexual harassment does not end with the signing of a settlement agreement – with or without a confidentiality clause. When a confidentiality clause is used, an organisation should also consider </w:t>
      </w:r>
      <w:r w:rsidR="001B36CC">
        <w:rPr>
          <w:rFonts w:ascii="Calibri Light" w:hAnsi="Calibri Light" w:cs="Calibri Light"/>
        </w:rPr>
        <w:t>how</w:t>
      </w:r>
      <w:r w:rsidR="001B36CC" w:rsidRPr="00501A45">
        <w:rPr>
          <w:rFonts w:ascii="Calibri Light" w:hAnsi="Calibri Light" w:cs="Calibri Light"/>
        </w:rPr>
        <w:t xml:space="preserve"> </w:t>
      </w:r>
      <w:r w:rsidRPr="00501A45">
        <w:rPr>
          <w:rFonts w:ascii="Calibri Light" w:hAnsi="Calibri Light" w:cs="Calibri Light"/>
        </w:rPr>
        <w:t xml:space="preserve">the confidentiality clause </w:t>
      </w:r>
      <w:r w:rsidR="001B36CC">
        <w:rPr>
          <w:rFonts w:ascii="Calibri Light" w:hAnsi="Calibri Light" w:cs="Calibri Light"/>
        </w:rPr>
        <w:t>affe</w:t>
      </w:r>
      <w:r w:rsidR="001B36CC" w:rsidRPr="00501A45">
        <w:rPr>
          <w:rFonts w:ascii="Calibri Light" w:hAnsi="Calibri Light" w:cs="Calibri Light"/>
        </w:rPr>
        <w:t xml:space="preserve">cts </w:t>
      </w:r>
      <w:r w:rsidRPr="00501A45">
        <w:rPr>
          <w:rFonts w:ascii="Calibri Light" w:hAnsi="Calibri Light" w:cs="Calibri Light"/>
        </w:rPr>
        <w:t xml:space="preserve">their ability to provide an accurate future employment reference. Parties should </w:t>
      </w:r>
      <w:r w:rsidR="00F02D21">
        <w:rPr>
          <w:rFonts w:ascii="Calibri Light" w:hAnsi="Calibri Light" w:cs="Calibri Light"/>
        </w:rPr>
        <w:t>not enter</w:t>
      </w:r>
      <w:r w:rsidR="001B36CC">
        <w:rPr>
          <w:rFonts w:ascii="Calibri Light" w:hAnsi="Calibri Light" w:cs="Calibri Light"/>
        </w:rPr>
        <w:t xml:space="preserve"> </w:t>
      </w:r>
      <w:r w:rsidRPr="00501A45">
        <w:rPr>
          <w:rFonts w:ascii="Calibri Light" w:hAnsi="Calibri Light" w:cs="Calibri Light"/>
        </w:rPr>
        <w:t xml:space="preserve">an agreement that </w:t>
      </w:r>
      <w:r w:rsidR="001B36CC">
        <w:rPr>
          <w:rFonts w:ascii="Calibri Light" w:hAnsi="Calibri Light" w:cs="Calibri Light"/>
        </w:rPr>
        <w:t xml:space="preserve">requires </w:t>
      </w:r>
      <w:r w:rsidRPr="00501A45">
        <w:rPr>
          <w:rFonts w:ascii="Calibri Light" w:hAnsi="Calibri Light" w:cs="Calibri Light"/>
        </w:rPr>
        <w:t xml:space="preserve">them </w:t>
      </w:r>
      <w:r w:rsidR="00304B95">
        <w:rPr>
          <w:rFonts w:ascii="Calibri Light" w:hAnsi="Calibri Light" w:cs="Calibri Light"/>
        </w:rPr>
        <w:t xml:space="preserve">to </w:t>
      </w:r>
      <w:r w:rsidRPr="00501A45">
        <w:rPr>
          <w:rFonts w:ascii="Calibri Light" w:hAnsi="Calibri Light" w:cs="Calibri Light"/>
        </w:rPr>
        <w:t xml:space="preserve">provide a misleading employment reference. </w:t>
      </w:r>
    </w:p>
    <w:p w14:paraId="7160CD68" w14:textId="77777777" w:rsidR="001E3208" w:rsidRPr="00501A45" w:rsidRDefault="001E3208" w:rsidP="005A4B37">
      <w:pPr>
        <w:keepNext/>
        <w:spacing w:after="200" w:line="276" w:lineRule="auto"/>
        <w:ind w:right="57"/>
        <w:rPr>
          <w:rFonts w:ascii="Calibri Light" w:hAnsi="Calibri Light" w:cs="Calibri Light"/>
          <w:b/>
          <w:i/>
        </w:rPr>
      </w:pPr>
      <w:r w:rsidRPr="00501A45">
        <w:rPr>
          <w:rFonts w:ascii="Calibri Light" w:hAnsi="Calibri Light" w:cs="Calibri Light"/>
          <w:b/>
          <w:i/>
        </w:rPr>
        <w:t>Some questions to consider:</w:t>
      </w:r>
    </w:p>
    <w:p w14:paraId="29B511AF" w14:textId="6AB5958A" w:rsidR="001E3208" w:rsidRPr="00501A45" w:rsidRDefault="001E3208" w:rsidP="005A4B37">
      <w:pPr>
        <w:pStyle w:val="ListParagraph"/>
        <w:keepNext/>
        <w:numPr>
          <w:ilvl w:val="0"/>
          <w:numId w:val="1"/>
        </w:numPr>
        <w:ind w:left="284" w:right="57"/>
        <w:rPr>
          <w:rFonts w:ascii="Calibri Light" w:hAnsi="Calibri Light" w:cs="Calibri Light"/>
        </w:rPr>
      </w:pPr>
      <w:r w:rsidRPr="00501A45">
        <w:rPr>
          <w:rFonts w:ascii="Calibri Light" w:hAnsi="Calibri Light" w:cs="Calibri Light"/>
        </w:rPr>
        <w:t xml:space="preserve">Will a confidentiality clause help or hinder organisational efforts to </w:t>
      </w:r>
      <w:r w:rsidR="00F913D9">
        <w:rPr>
          <w:rFonts w:ascii="Calibri Light" w:hAnsi="Calibri Light" w:cs="Calibri Light"/>
        </w:rPr>
        <w:t xml:space="preserve">prevent and </w:t>
      </w:r>
      <w:r w:rsidRPr="00501A45">
        <w:rPr>
          <w:rFonts w:ascii="Calibri Light" w:hAnsi="Calibri Light" w:cs="Calibri Light"/>
        </w:rPr>
        <w:t>address workplace sexual harassment?</w:t>
      </w:r>
    </w:p>
    <w:p w14:paraId="227426A4" w14:textId="77777777" w:rsidR="001E3208" w:rsidRPr="00501A45" w:rsidRDefault="001E3208" w:rsidP="001E3208">
      <w:pPr>
        <w:pStyle w:val="ListParagraph"/>
        <w:numPr>
          <w:ilvl w:val="0"/>
          <w:numId w:val="1"/>
        </w:numPr>
        <w:ind w:left="284" w:right="56"/>
        <w:rPr>
          <w:rFonts w:ascii="Calibri Light" w:hAnsi="Calibri Light" w:cs="Calibri Light"/>
        </w:rPr>
      </w:pPr>
      <w:r w:rsidRPr="00501A45">
        <w:rPr>
          <w:rFonts w:ascii="Calibri Light" w:hAnsi="Calibri Light" w:cs="Calibri Light"/>
        </w:rPr>
        <w:t>Are there aspects of the workplace sexual harassment complaint or allegation that should be made public – for example, to demonstrate the organisation’s commitment to taking measures in response?</w:t>
      </w:r>
    </w:p>
    <w:p w14:paraId="5CFB20AB" w14:textId="61F47DF8" w:rsidR="001E3208" w:rsidRPr="00501A45" w:rsidRDefault="001E3208" w:rsidP="001E3208">
      <w:pPr>
        <w:pStyle w:val="ListParagraph"/>
        <w:numPr>
          <w:ilvl w:val="0"/>
          <w:numId w:val="1"/>
        </w:numPr>
        <w:ind w:left="284" w:right="56"/>
        <w:rPr>
          <w:rFonts w:ascii="Calibri Light" w:hAnsi="Calibri Light" w:cs="Calibri Light"/>
        </w:rPr>
      </w:pPr>
      <w:r w:rsidRPr="00501A45">
        <w:rPr>
          <w:rFonts w:ascii="Calibri Light" w:hAnsi="Calibri Light" w:cs="Calibri Light"/>
        </w:rPr>
        <w:lastRenderedPageBreak/>
        <w:t>Is the organisation managing the use of confidentiality clauses in a way that allows it to address existing or emerging cultural or systemic issues relating to sexual harassment</w:t>
      </w:r>
      <w:r w:rsidR="00492093">
        <w:rPr>
          <w:rFonts w:ascii="Calibri Light" w:hAnsi="Calibri Light" w:cs="Calibri Light"/>
        </w:rPr>
        <w:t>, including repeated conduct</w:t>
      </w:r>
      <w:r w:rsidRPr="00501A45">
        <w:rPr>
          <w:rFonts w:ascii="Calibri Light" w:hAnsi="Calibri Light" w:cs="Calibri Light"/>
        </w:rPr>
        <w:t>?</w:t>
      </w:r>
    </w:p>
    <w:p w14:paraId="292117B7" w14:textId="477C0864" w:rsidR="001E3208" w:rsidRDefault="001E3208" w:rsidP="001E3208">
      <w:pPr>
        <w:pStyle w:val="ListParagraph"/>
        <w:numPr>
          <w:ilvl w:val="0"/>
          <w:numId w:val="1"/>
        </w:numPr>
        <w:ind w:left="284" w:right="56"/>
        <w:rPr>
          <w:rFonts w:ascii="Calibri Light" w:hAnsi="Calibri Light" w:cs="Calibri Light"/>
        </w:rPr>
      </w:pPr>
      <w:bookmarkStart w:id="8" w:name="_Hlk117673137"/>
      <w:r w:rsidRPr="00501A45">
        <w:rPr>
          <w:rFonts w:ascii="Calibri Light" w:hAnsi="Calibri Light" w:cs="Calibri Light"/>
        </w:rPr>
        <w:t xml:space="preserve">Will a confidentiality clause be inconsistent with any of the organisation’s statutory duties (such as under the </w:t>
      </w:r>
      <w:r w:rsidRPr="005F17B8">
        <w:rPr>
          <w:rFonts w:ascii="Calibri Light" w:hAnsi="Calibri Light" w:cs="Calibri Light"/>
          <w:i/>
          <w:iCs/>
        </w:rPr>
        <w:t>Fair Work</w:t>
      </w:r>
      <w:r w:rsidR="001B36CC" w:rsidRPr="005F17B8">
        <w:rPr>
          <w:rFonts w:ascii="Calibri Light" w:hAnsi="Calibri Light" w:cs="Calibri Light"/>
          <w:i/>
          <w:iCs/>
        </w:rPr>
        <w:t xml:space="preserve"> Act 2009</w:t>
      </w:r>
      <w:r w:rsidR="00140039">
        <w:rPr>
          <w:rFonts w:ascii="Calibri Light" w:hAnsi="Calibri Light" w:cs="Calibri Light"/>
          <w:i/>
          <w:iCs/>
        </w:rPr>
        <w:t xml:space="preserve"> </w:t>
      </w:r>
      <w:r w:rsidR="00140039" w:rsidRPr="00140039">
        <w:rPr>
          <w:rFonts w:ascii="Calibri Light" w:hAnsi="Calibri Light" w:cs="Calibri Light"/>
          <w:iCs/>
        </w:rPr>
        <w:t>(Cth)</w:t>
      </w:r>
      <w:r w:rsidRPr="00140039">
        <w:rPr>
          <w:rFonts w:ascii="Calibri Light" w:hAnsi="Calibri Light" w:cs="Calibri Light"/>
        </w:rPr>
        <w:t>,</w:t>
      </w:r>
      <w:r w:rsidRPr="00501A45">
        <w:rPr>
          <w:rFonts w:ascii="Calibri Light" w:hAnsi="Calibri Light" w:cs="Calibri Light"/>
        </w:rPr>
        <w:t xml:space="preserve"> discrimination law and WHS law)</w:t>
      </w:r>
      <w:r w:rsidR="00A80A35">
        <w:rPr>
          <w:rFonts w:ascii="Calibri Light" w:hAnsi="Calibri Light" w:cs="Calibri Light"/>
        </w:rPr>
        <w:t>?</w:t>
      </w:r>
    </w:p>
    <w:bookmarkEnd w:id="8"/>
    <w:p w14:paraId="31AAEEAB" w14:textId="64BD447B" w:rsidR="00933E9D" w:rsidRPr="00501A45" w:rsidRDefault="00933E9D" w:rsidP="001E3208">
      <w:pPr>
        <w:pStyle w:val="ListParagraph"/>
        <w:numPr>
          <w:ilvl w:val="0"/>
          <w:numId w:val="1"/>
        </w:numPr>
        <w:ind w:left="284" w:right="56"/>
        <w:rPr>
          <w:rFonts w:ascii="Calibri Light" w:hAnsi="Calibri Light" w:cs="Calibri Light"/>
        </w:rPr>
      </w:pPr>
      <w:r>
        <w:rPr>
          <w:rFonts w:ascii="Calibri Light" w:hAnsi="Calibri Light" w:cs="Calibri Light"/>
        </w:rPr>
        <w:t>Does the confidentiality clause limit the organisation’s ability to collect data on or report on allegations of sexual harassment</w:t>
      </w:r>
      <w:r w:rsidR="006E44EF">
        <w:rPr>
          <w:rFonts w:ascii="Calibri Light" w:hAnsi="Calibri Light" w:cs="Calibri Light"/>
        </w:rPr>
        <w:t>?</w:t>
      </w:r>
      <w:r>
        <w:rPr>
          <w:rFonts w:ascii="Calibri Light" w:hAnsi="Calibri Light" w:cs="Calibri Light"/>
        </w:rPr>
        <w:t xml:space="preserve"> </w:t>
      </w:r>
    </w:p>
    <w:p w14:paraId="3DBA289A" w14:textId="77777777" w:rsidR="006B7918" w:rsidRDefault="001E3208" w:rsidP="001D66FE">
      <w:pPr>
        <w:pStyle w:val="Heading3"/>
      </w:pPr>
      <w:r w:rsidRPr="00501A45">
        <w:t xml:space="preserve">Resources: </w:t>
      </w:r>
    </w:p>
    <w:p w14:paraId="258F75EE" w14:textId="1C6CEB24" w:rsidR="00925C37" w:rsidRPr="00231950" w:rsidRDefault="00925C37" w:rsidP="00F3106B">
      <w:pPr>
        <w:pStyle w:val="ListParagraph"/>
        <w:numPr>
          <w:ilvl w:val="0"/>
          <w:numId w:val="16"/>
        </w:numPr>
      </w:pPr>
      <w:r>
        <w:t xml:space="preserve">The </w:t>
      </w:r>
      <w:hyperlink r:id="rId15" w:history="1">
        <w:r w:rsidRPr="00925C37">
          <w:rPr>
            <w:rStyle w:val="Hyperlink"/>
          </w:rPr>
          <w:t>Respect@Work website</w:t>
        </w:r>
      </w:hyperlink>
      <w:r>
        <w:t xml:space="preserve"> provides comprehensive resources to help individuals and organisations understand, prevent, and respond to workplace sexual harassment.</w:t>
      </w:r>
      <w:r w:rsidRPr="00925C37">
        <w:t xml:space="preserve"> </w:t>
      </w:r>
    </w:p>
    <w:p w14:paraId="335154A1" w14:textId="6A677376" w:rsidR="00F70BBF" w:rsidRPr="006B7918" w:rsidRDefault="001E3208" w:rsidP="00F3106B">
      <w:pPr>
        <w:pStyle w:val="ListParagraph"/>
        <w:numPr>
          <w:ilvl w:val="0"/>
          <w:numId w:val="16"/>
        </w:numPr>
      </w:pPr>
      <w:r w:rsidRPr="006B7918">
        <w:rPr>
          <w:rFonts w:ascii="Calibri Light" w:hAnsi="Calibri Light" w:cs="Calibri Light"/>
          <w:bCs/>
        </w:rPr>
        <w:t>Safe</w:t>
      </w:r>
      <w:r w:rsidR="00820136">
        <w:rPr>
          <w:rFonts w:ascii="Calibri Light" w:hAnsi="Calibri Light" w:cs="Calibri Light"/>
          <w:bCs/>
        </w:rPr>
        <w:t xml:space="preserve"> </w:t>
      </w:r>
      <w:r w:rsidRPr="006B7918">
        <w:rPr>
          <w:rFonts w:ascii="Calibri Light" w:hAnsi="Calibri Light" w:cs="Calibri Light"/>
          <w:bCs/>
        </w:rPr>
        <w:t xml:space="preserve">Work Australia has a </w:t>
      </w:r>
      <w:hyperlink r:id="rId16" w:history="1">
        <w:r w:rsidRPr="006B7918">
          <w:rPr>
            <w:rStyle w:val="Hyperlink"/>
            <w:rFonts w:ascii="Calibri Light" w:hAnsi="Calibri Light" w:cs="Calibri Light"/>
            <w:bCs/>
          </w:rPr>
          <w:t>suite of information</w:t>
        </w:r>
      </w:hyperlink>
      <w:r w:rsidRPr="006B7918">
        <w:rPr>
          <w:rFonts w:ascii="Calibri Light" w:hAnsi="Calibri Light" w:cs="Calibri Light"/>
          <w:bCs/>
        </w:rPr>
        <w:t xml:space="preserve"> to support organisations to manage the WHS risks of workplace sexual harassment.</w:t>
      </w:r>
    </w:p>
    <w:p w14:paraId="5E091407" w14:textId="0A1F60A8" w:rsidR="00552B61" w:rsidRPr="006B7918" w:rsidRDefault="006B7918" w:rsidP="00F3106B">
      <w:pPr>
        <w:pStyle w:val="ListParagraph"/>
        <w:numPr>
          <w:ilvl w:val="0"/>
          <w:numId w:val="16"/>
        </w:numPr>
        <w:spacing w:before="0" w:after="160"/>
        <w:rPr>
          <w:rFonts w:cstheme="majorHAnsi"/>
        </w:rPr>
      </w:pPr>
      <w:r>
        <w:t>Comcare has developed</w:t>
      </w:r>
      <w:r w:rsidR="00E30B58" w:rsidRPr="006B7918">
        <w:rPr>
          <w:rFonts w:cstheme="majorHAnsi"/>
        </w:rPr>
        <w:t xml:space="preserve"> </w:t>
      </w:r>
      <w:hyperlink r:id="rId17" w:history="1">
        <w:r w:rsidR="00E30B58" w:rsidRPr="006B7918">
          <w:rPr>
            <w:rStyle w:val="Hyperlink"/>
            <w:rFonts w:cstheme="majorHAnsi"/>
          </w:rPr>
          <w:t>Regulatory Guidance for Employers on their Work Health and Safety Responsibilities</w:t>
        </w:r>
      </w:hyperlink>
      <w:r w:rsidR="006E44EF">
        <w:rPr>
          <w:rStyle w:val="Hyperlink"/>
          <w:rFonts w:cstheme="majorHAnsi"/>
        </w:rPr>
        <w:t>.</w:t>
      </w:r>
      <w:r w:rsidR="00E30B58" w:rsidRPr="006B7918">
        <w:rPr>
          <w:rFonts w:cstheme="majorHAnsi"/>
        </w:rPr>
        <w:t xml:space="preserve"> </w:t>
      </w:r>
      <w:r w:rsidR="00552B61" w:rsidRPr="006B7918">
        <w:rPr>
          <w:rFonts w:cstheme="majorHAnsi"/>
        </w:rPr>
        <w:br w:type="page"/>
      </w:r>
    </w:p>
    <w:p w14:paraId="77F94BD9" w14:textId="296A6D67" w:rsidR="00F70BBF" w:rsidRPr="004F35CD" w:rsidRDefault="004F35CD" w:rsidP="00660D7C">
      <w:pPr>
        <w:pStyle w:val="Heading1"/>
      </w:pPr>
      <w:r>
        <w:lastRenderedPageBreak/>
        <w:t xml:space="preserve">4. </w:t>
      </w:r>
      <w:r w:rsidR="445B0629">
        <w:t>A</w:t>
      </w:r>
      <w:r w:rsidR="00027A20">
        <w:t>ll</w:t>
      </w:r>
      <w:r w:rsidR="00027A20" w:rsidRPr="004F35CD">
        <w:t xml:space="preserve"> </w:t>
      </w:r>
      <w:r w:rsidRPr="004F35CD">
        <w:t xml:space="preserve">clauses </w:t>
      </w:r>
      <w:r w:rsidR="00C7646F">
        <w:t xml:space="preserve">in a settlement agreement </w:t>
      </w:r>
      <w:r w:rsidR="00163529" w:rsidRPr="00163529">
        <w:t xml:space="preserve">should </w:t>
      </w:r>
      <w:r w:rsidR="00925C37">
        <w:t>be clear</w:t>
      </w:r>
      <w:r w:rsidRPr="004F35CD">
        <w:t>, fair, in plain English and, where necessary, translated</w:t>
      </w:r>
      <w:r w:rsidR="00C83C13">
        <w:t xml:space="preserve"> and/or interpreted</w:t>
      </w:r>
      <w:r w:rsidR="004F6113">
        <w:t xml:space="preserve"> </w:t>
      </w:r>
    </w:p>
    <w:p w14:paraId="275C9593" w14:textId="5E8AB86C" w:rsidR="00640478" w:rsidRDefault="00640478" w:rsidP="00552B61">
      <w:pPr>
        <w:keepNext/>
        <w:spacing w:after="200" w:line="276" w:lineRule="auto"/>
        <w:ind w:right="56"/>
        <w:rPr>
          <w:rFonts w:ascii="Calibri Light" w:hAnsi="Calibri Light" w:cs="Calibri Light"/>
        </w:rPr>
      </w:pPr>
      <w:r w:rsidRPr="00501A45">
        <w:rPr>
          <w:rFonts w:ascii="Calibri Light" w:hAnsi="Calibri Light" w:cs="Calibri Light"/>
        </w:rPr>
        <w:t>It</w:t>
      </w:r>
      <w:r w:rsidR="00933E9D">
        <w:rPr>
          <w:rFonts w:ascii="Calibri Light" w:hAnsi="Calibri Light" w:cs="Calibri Light"/>
        </w:rPr>
        <w:t xml:space="preserve"> i</w:t>
      </w:r>
      <w:r w:rsidRPr="00501A45">
        <w:rPr>
          <w:rFonts w:ascii="Calibri Light" w:hAnsi="Calibri Light" w:cs="Calibri Light"/>
        </w:rPr>
        <w:t xml:space="preserve">s important that everyone involved </w:t>
      </w:r>
      <w:r w:rsidR="00933E9D">
        <w:rPr>
          <w:rFonts w:ascii="Calibri Light" w:hAnsi="Calibri Light" w:cs="Calibri Light"/>
        </w:rPr>
        <w:t xml:space="preserve">in negotiating a settlement agreement </w:t>
      </w:r>
      <w:r w:rsidRPr="00501A45">
        <w:rPr>
          <w:rFonts w:ascii="Calibri Light" w:hAnsi="Calibri Light" w:cs="Calibri Light"/>
        </w:rPr>
        <w:t xml:space="preserve">understands </w:t>
      </w:r>
      <w:r w:rsidR="000B5395">
        <w:rPr>
          <w:rFonts w:ascii="Calibri Light" w:hAnsi="Calibri Light" w:cs="Calibri Light"/>
        </w:rPr>
        <w:t>what</w:t>
      </w:r>
      <w:r w:rsidRPr="00501A45">
        <w:rPr>
          <w:rFonts w:ascii="Calibri Light" w:hAnsi="Calibri Light" w:cs="Calibri Light"/>
        </w:rPr>
        <w:t xml:space="preserve"> the </w:t>
      </w:r>
      <w:r w:rsidR="00027A20">
        <w:rPr>
          <w:rFonts w:ascii="Calibri Light" w:hAnsi="Calibri Light" w:cs="Calibri Light"/>
        </w:rPr>
        <w:t xml:space="preserve">agreement, </w:t>
      </w:r>
      <w:r w:rsidR="00C7646F">
        <w:rPr>
          <w:rFonts w:ascii="Calibri Light" w:hAnsi="Calibri Light" w:cs="Calibri Light"/>
        </w:rPr>
        <w:t>including</w:t>
      </w:r>
      <w:r w:rsidR="00027A20">
        <w:rPr>
          <w:rFonts w:ascii="Calibri Light" w:hAnsi="Calibri Light" w:cs="Calibri Light"/>
        </w:rPr>
        <w:t xml:space="preserve"> any </w:t>
      </w:r>
      <w:r w:rsidRPr="00501A45">
        <w:rPr>
          <w:rFonts w:ascii="Calibri Light" w:hAnsi="Calibri Light" w:cs="Calibri Light"/>
        </w:rPr>
        <w:t>confidentiality clause</w:t>
      </w:r>
      <w:r w:rsidR="00027A20">
        <w:rPr>
          <w:rFonts w:ascii="Calibri Light" w:hAnsi="Calibri Light" w:cs="Calibri Light"/>
        </w:rPr>
        <w:t>,</w:t>
      </w:r>
      <w:r w:rsidR="000B5395">
        <w:rPr>
          <w:rFonts w:ascii="Calibri Light" w:hAnsi="Calibri Light" w:cs="Calibri Light"/>
        </w:rPr>
        <w:t xml:space="preserve"> means</w:t>
      </w:r>
      <w:r w:rsidR="00B0058E">
        <w:rPr>
          <w:rFonts w:ascii="Calibri Light" w:hAnsi="Calibri Light" w:cs="Calibri Light"/>
        </w:rPr>
        <w:t>, and what their responsibilities are</w:t>
      </w:r>
      <w:r w:rsidRPr="00501A45">
        <w:rPr>
          <w:rFonts w:ascii="Calibri Light" w:hAnsi="Calibri Light" w:cs="Calibri Light"/>
        </w:rPr>
        <w:t>.</w:t>
      </w:r>
      <w:r w:rsidR="00552B61">
        <w:rPr>
          <w:rFonts w:ascii="Calibri Light" w:hAnsi="Calibri Light" w:cs="Calibri Light"/>
        </w:rPr>
        <w:t xml:space="preserve"> </w:t>
      </w:r>
      <w:r w:rsidRPr="00501A45">
        <w:rPr>
          <w:rFonts w:ascii="Calibri Light" w:hAnsi="Calibri Light" w:cs="Calibri Light"/>
        </w:rPr>
        <w:t xml:space="preserve">Any discussion or communication about the </w:t>
      </w:r>
      <w:r w:rsidR="000B5395">
        <w:rPr>
          <w:rFonts w:ascii="Calibri Light" w:hAnsi="Calibri Light" w:cs="Calibri Light"/>
        </w:rPr>
        <w:t xml:space="preserve">settlement </w:t>
      </w:r>
      <w:r w:rsidRPr="00501A45">
        <w:rPr>
          <w:rFonts w:ascii="Calibri Light" w:hAnsi="Calibri Light" w:cs="Calibri Light"/>
        </w:rPr>
        <w:t xml:space="preserve">agreement and the confidentiality clauses should be communicated clearly and written in plain language. </w:t>
      </w:r>
      <w:r w:rsidR="003A6931" w:rsidRPr="003A6931">
        <w:rPr>
          <w:rFonts w:ascii="Calibri Light" w:hAnsi="Calibri Light" w:cs="Calibri Light"/>
        </w:rPr>
        <w:t xml:space="preserve">This may involve the use of translators and/or interpreters </w:t>
      </w:r>
      <w:r w:rsidR="00051576">
        <w:rPr>
          <w:rFonts w:ascii="Calibri Light" w:hAnsi="Calibri Light" w:cs="Calibri Light"/>
        </w:rPr>
        <w:t xml:space="preserve">and </w:t>
      </w:r>
      <w:r w:rsidR="003A6931" w:rsidRPr="003A6931">
        <w:rPr>
          <w:rFonts w:ascii="Calibri Light" w:hAnsi="Calibri Light" w:cs="Calibri Light"/>
        </w:rPr>
        <w:t>other supports and resources to ensure that people genuinely understand the information that is provided.</w:t>
      </w:r>
    </w:p>
    <w:p w14:paraId="42022B83" w14:textId="77777777" w:rsidR="00F70BBF" w:rsidRPr="00501A45" w:rsidRDefault="00F70BBF" w:rsidP="00F70BBF">
      <w:pPr>
        <w:pStyle w:val="Heading2"/>
        <w:spacing w:after="120"/>
        <w:ind w:right="56"/>
      </w:pPr>
      <w:r w:rsidRPr="00501A45">
        <w:t>Draft in plain language</w:t>
      </w:r>
    </w:p>
    <w:p w14:paraId="27E4B08C" w14:textId="77777777" w:rsidR="006B7918" w:rsidRDefault="00F70BBF" w:rsidP="00F70BBF">
      <w:pPr>
        <w:spacing w:after="200" w:line="276" w:lineRule="auto"/>
        <w:ind w:right="56"/>
        <w:rPr>
          <w:rFonts w:ascii="Calibri Light" w:hAnsi="Calibri Light" w:cs="Calibri Light"/>
        </w:rPr>
      </w:pPr>
      <w:r w:rsidRPr="00501A45">
        <w:rPr>
          <w:rFonts w:ascii="Calibri Light" w:hAnsi="Calibri Light" w:cs="Calibri Light"/>
        </w:rPr>
        <w:t xml:space="preserve">Any settlement agreement that contains </w:t>
      </w:r>
      <w:r w:rsidR="00552B61">
        <w:rPr>
          <w:rFonts w:ascii="Calibri Light" w:hAnsi="Calibri Light" w:cs="Calibri Light"/>
        </w:rPr>
        <w:t xml:space="preserve">a </w:t>
      </w:r>
      <w:r w:rsidRPr="00501A45">
        <w:rPr>
          <w:rFonts w:ascii="Calibri Light" w:hAnsi="Calibri Light" w:cs="Calibri Light"/>
        </w:rPr>
        <w:t xml:space="preserve">confidentiality clause should be drafted using accessible, plain language that is understood by all parties involved. </w:t>
      </w:r>
    </w:p>
    <w:p w14:paraId="684C073F" w14:textId="50EF1456" w:rsidR="00F70BBF" w:rsidRDefault="006B7918" w:rsidP="00F70BBF">
      <w:pPr>
        <w:spacing w:after="200" w:line="276" w:lineRule="auto"/>
        <w:ind w:right="56"/>
        <w:rPr>
          <w:rFonts w:ascii="Calibri Light" w:hAnsi="Calibri Light" w:cs="Calibri Light"/>
        </w:rPr>
      </w:pPr>
      <w:r>
        <w:rPr>
          <w:rFonts w:ascii="Calibri Light" w:hAnsi="Calibri Light" w:cs="Calibri Light"/>
        </w:rPr>
        <w:t xml:space="preserve">The confidentiality clause </w:t>
      </w:r>
      <w:r w:rsidR="006E44EF">
        <w:rPr>
          <w:rFonts w:ascii="Calibri Light" w:hAnsi="Calibri Light" w:cs="Calibri Light"/>
        </w:rPr>
        <w:t xml:space="preserve">itself </w:t>
      </w:r>
      <w:r w:rsidR="006E44EF" w:rsidRPr="00501A45">
        <w:rPr>
          <w:rFonts w:ascii="Calibri Light" w:hAnsi="Calibri Light" w:cs="Calibri Light"/>
        </w:rPr>
        <w:t>should</w:t>
      </w:r>
      <w:r w:rsidR="00F70BBF" w:rsidRPr="00501A45">
        <w:rPr>
          <w:rFonts w:ascii="Calibri Light" w:hAnsi="Calibri Light" w:cs="Calibri Light"/>
        </w:rPr>
        <w:t xml:space="preserve"> clearly state what information can and can</w:t>
      </w:r>
      <w:r w:rsidR="00637399">
        <w:rPr>
          <w:rFonts w:ascii="Calibri Light" w:hAnsi="Calibri Light" w:cs="Calibri Light"/>
        </w:rPr>
        <w:t>no</w:t>
      </w:r>
      <w:r w:rsidR="00F70BBF" w:rsidRPr="00501A45">
        <w:rPr>
          <w:rFonts w:ascii="Calibri Light" w:hAnsi="Calibri Light" w:cs="Calibri Light"/>
        </w:rPr>
        <w:t xml:space="preserve">t be disclosed, </w:t>
      </w:r>
      <w:r w:rsidR="00552B61">
        <w:rPr>
          <w:rFonts w:ascii="Calibri Light" w:hAnsi="Calibri Light" w:cs="Calibri Light"/>
        </w:rPr>
        <w:t>what exceptions are permitted (see example list above),</w:t>
      </w:r>
      <w:r w:rsidR="00F70BBF" w:rsidRPr="00501A45">
        <w:rPr>
          <w:rFonts w:ascii="Calibri Light" w:hAnsi="Calibri Light" w:cs="Calibri Light"/>
        </w:rPr>
        <w:t xml:space="preserve"> how long </w:t>
      </w:r>
      <w:r w:rsidR="00552B61">
        <w:rPr>
          <w:rFonts w:ascii="Calibri Light" w:hAnsi="Calibri Light" w:cs="Calibri Light"/>
        </w:rPr>
        <w:t>the clause is in effect for</w:t>
      </w:r>
      <w:r w:rsidR="00F70BBF" w:rsidRPr="00501A45">
        <w:rPr>
          <w:rFonts w:ascii="Calibri Light" w:hAnsi="Calibri Light" w:cs="Calibri Light"/>
        </w:rPr>
        <w:t xml:space="preserve">, and </w:t>
      </w:r>
      <w:r w:rsidR="00156771">
        <w:rPr>
          <w:rFonts w:ascii="Calibri Light" w:hAnsi="Calibri Light" w:cs="Calibri Light"/>
        </w:rPr>
        <w:t>any</w:t>
      </w:r>
      <w:r w:rsidR="00156771" w:rsidRPr="00501A45">
        <w:rPr>
          <w:rFonts w:ascii="Calibri Light" w:hAnsi="Calibri Light" w:cs="Calibri Light"/>
        </w:rPr>
        <w:t xml:space="preserve"> </w:t>
      </w:r>
      <w:r w:rsidR="00F70BBF" w:rsidRPr="00501A45">
        <w:rPr>
          <w:rFonts w:ascii="Calibri Light" w:hAnsi="Calibri Light" w:cs="Calibri Light"/>
        </w:rPr>
        <w:t xml:space="preserve">legal rights and responsibilities </w:t>
      </w:r>
      <w:r w:rsidR="00552B61">
        <w:rPr>
          <w:rFonts w:ascii="Calibri Light" w:hAnsi="Calibri Light" w:cs="Calibri Light"/>
        </w:rPr>
        <w:t xml:space="preserve">the </w:t>
      </w:r>
      <w:r w:rsidR="00F70BBF" w:rsidRPr="00501A45">
        <w:rPr>
          <w:rFonts w:ascii="Calibri Light" w:hAnsi="Calibri Light" w:cs="Calibri Light"/>
        </w:rPr>
        <w:t>confidentiality clause can</w:t>
      </w:r>
      <w:r w:rsidR="00637399">
        <w:rPr>
          <w:rFonts w:ascii="Calibri Light" w:hAnsi="Calibri Light" w:cs="Calibri Light"/>
        </w:rPr>
        <w:t>no</w:t>
      </w:r>
      <w:r w:rsidR="00F70BBF" w:rsidRPr="00501A45">
        <w:rPr>
          <w:rFonts w:ascii="Calibri Light" w:hAnsi="Calibri Light" w:cs="Calibri Light"/>
        </w:rPr>
        <w:t xml:space="preserve">t </w:t>
      </w:r>
      <w:r w:rsidR="00156771">
        <w:rPr>
          <w:rFonts w:ascii="Calibri Light" w:hAnsi="Calibri Light" w:cs="Calibri Light"/>
        </w:rPr>
        <w:t>or w</w:t>
      </w:r>
      <w:r w:rsidR="00637399">
        <w:rPr>
          <w:rFonts w:ascii="Calibri Light" w:hAnsi="Calibri Light" w:cs="Calibri Light"/>
        </w:rPr>
        <w:t>ill not</w:t>
      </w:r>
      <w:r w:rsidR="00156771">
        <w:rPr>
          <w:rFonts w:ascii="Calibri Light" w:hAnsi="Calibri Light" w:cs="Calibri Light"/>
        </w:rPr>
        <w:t xml:space="preserve"> </w:t>
      </w:r>
      <w:r w:rsidR="00F70BBF" w:rsidRPr="00501A45">
        <w:rPr>
          <w:rFonts w:ascii="Calibri Light" w:hAnsi="Calibri Light" w:cs="Calibri Light"/>
        </w:rPr>
        <w:t>remove.</w:t>
      </w:r>
    </w:p>
    <w:p w14:paraId="0A5036AA" w14:textId="16DC85BF" w:rsidR="0036048C" w:rsidRPr="00501A45" w:rsidRDefault="00B73A46" w:rsidP="0036048C">
      <w:pPr>
        <w:pStyle w:val="Heading2"/>
      </w:pPr>
      <w:r>
        <w:t>Ensure all documents</w:t>
      </w:r>
      <w:r w:rsidR="006B7918">
        <w:t xml:space="preserve"> are accessible</w:t>
      </w:r>
    </w:p>
    <w:p w14:paraId="656DE702" w14:textId="52F17CE1" w:rsidR="00640478" w:rsidRPr="00501A45" w:rsidRDefault="00640478" w:rsidP="00F70BBF">
      <w:pPr>
        <w:spacing w:after="200" w:line="276" w:lineRule="auto"/>
        <w:ind w:right="56"/>
        <w:rPr>
          <w:rFonts w:ascii="Calibri Light" w:hAnsi="Calibri Light" w:cs="Calibri Light"/>
        </w:rPr>
      </w:pPr>
      <w:r w:rsidRPr="00501A45">
        <w:rPr>
          <w:rFonts w:ascii="Calibri Light" w:hAnsi="Calibri Light" w:cs="Calibri Light"/>
        </w:rPr>
        <w:t xml:space="preserve">Organisations should be aware of and proactively accommodate </w:t>
      </w:r>
      <w:r w:rsidR="00820136">
        <w:rPr>
          <w:rFonts w:ascii="Calibri Light" w:hAnsi="Calibri Light" w:cs="Calibri Light"/>
        </w:rPr>
        <w:t xml:space="preserve">the </w:t>
      </w:r>
      <w:r w:rsidRPr="00501A45">
        <w:rPr>
          <w:rFonts w:ascii="Calibri Light" w:hAnsi="Calibri Light" w:cs="Calibri Light"/>
        </w:rPr>
        <w:t>accessibility needs of the individuals involved in a workplace sexual harassment complaint. This includes assessing whether interpreting or translating services, accessible materials, or other supports are required</w:t>
      </w:r>
      <w:r w:rsidR="00135FEB">
        <w:rPr>
          <w:rFonts w:ascii="Calibri Light" w:hAnsi="Calibri Light" w:cs="Calibri Light"/>
        </w:rPr>
        <w:t>,</w:t>
      </w:r>
      <w:r w:rsidRPr="00501A45">
        <w:t xml:space="preserve"> </w:t>
      </w:r>
      <w:r w:rsidR="002C178C">
        <w:t xml:space="preserve">and </w:t>
      </w:r>
      <w:r w:rsidRPr="00501A45">
        <w:rPr>
          <w:rFonts w:ascii="Calibri Light" w:hAnsi="Calibri Light" w:cs="Calibri Light"/>
        </w:rPr>
        <w:t>ensuring that all communication is in plain language.</w:t>
      </w:r>
    </w:p>
    <w:p w14:paraId="7B299788" w14:textId="77777777" w:rsidR="00E34902" w:rsidRPr="00501A45" w:rsidRDefault="00E34902" w:rsidP="00E34902">
      <w:pPr>
        <w:spacing w:after="200" w:line="276" w:lineRule="auto"/>
        <w:ind w:right="56"/>
        <w:rPr>
          <w:rFonts w:ascii="Calibri Light" w:hAnsi="Calibri Light" w:cs="Calibri Light"/>
          <w:b/>
          <w:i/>
        </w:rPr>
      </w:pPr>
      <w:r w:rsidRPr="00501A45">
        <w:rPr>
          <w:rFonts w:ascii="Calibri Light" w:hAnsi="Calibri Light" w:cs="Calibri Light"/>
          <w:b/>
          <w:i/>
        </w:rPr>
        <w:t>Some questions to consider:</w:t>
      </w:r>
    </w:p>
    <w:p w14:paraId="6CE52068" w14:textId="26B9CE0D" w:rsidR="00202874" w:rsidRPr="00B73A46" w:rsidRDefault="00E34902" w:rsidP="00E34902">
      <w:pPr>
        <w:pStyle w:val="ListParagraph"/>
        <w:numPr>
          <w:ilvl w:val="0"/>
          <w:numId w:val="1"/>
        </w:numPr>
        <w:spacing w:after="200" w:line="276" w:lineRule="auto"/>
        <w:ind w:left="426" w:right="56"/>
        <w:rPr>
          <w:rFonts w:ascii="Calibri Light" w:hAnsi="Calibri Light" w:cs="Calibri Light"/>
        </w:rPr>
      </w:pPr>
      <w:r w:rsidRPr="00501A45">
        <w:t xml:space="preserve">Is the language of the settlement agreement clear, balanced and easy to understand? </w:t>
      </w:r>
    </w:p>
    <w:p w14:paraId="41229048" w14:textId="3CA7F30B" w:rsidR="00B73A46" w:rsidRDefault="00B73A46" w:rsidP="00E34902">
      <w:pPr>
        <w:pStyle w:val="ListParagraph"/>
        <w:numPr>
          <w:ilvl w:val="0"/>
          <w:numId w:val="1"/>
        </w:numPr>
        <w:spacing w:after="200" w:line="276" w:lineRule="auto"/>
        <w:ind w:left="426" w:right="56"/>
        <w:rPr>
          <w:rFonts w:ascii="Calibri Light" w:hAnsi="Calibri Light" w:cs="Calibri Light"/>
        </w:rPr>
      </w:pPr>
      <w:r>
        <w:rPr>
          <w:rFonts w:ascii="Calibri Light" w:hAnsi="Calibri Light" w:cs="Calibri Light"/>
        </w:rPr>
        <w:t>Does the confidentiality clause set out the expectations and responsibilities for all parties?</w:t>
      </w:r>
    </w:p>
    <w:p w14:paraId="1223D081" w14:textId="1F8DCBF0" w:rsidR="00B73A46" w:rsidRPr="004E3B94" w:rsidRDefault="00B73A46" w:rsidP="00E34902">
      <w:pPr>
        <w:pStyle w:val="ListParagraph"/>
        <w:numPr>
          <w:ilvl w:val="0"/>
          <w:numId w:val="1"/>
        </w:numPr>
        <w:spacing w:after="200" w:line="276" w:lineRule="auto"/>
        <w:ind w:left="426" w:right="56"/>
        <w:rPr>
          <w:rFonts w:ascii="Calibri Light" w:hAnsi="Calibri Light" w:cs="Calibri Light"/>
        </w:rPr>
      </w:pPr>
      <w:r>
        <w:rPr>
          <w:rFonts w:ascii="Calibri Light" w:hAnsi="Calibri Light" w:cs="Calibri Light"/>
        </w:rPr>
        <w:t>Is the duration and scope of the settlement agreement clear (</w:t>
      </w:r>
      <w:hyperlink w:anchor="_2._The_scope" w:history="1">
        <w:r w:rsidRPr="00AE7157">
          <w:rPr>
            <w:rStyle w:val="Hyperlink"/>
            <w:rFonts w:ascii="Calibri Light" w:hAnsi="Calibri Light" w:cs="Calibri Light"/>
          </w:rPr>
          <w:t>See [</w:t>
        </w:r>
        <w:r w:rsidR="00660D7C" w:rsidRPr="00AE7157">
          <w:rPr>
            <w:rStyle w:val="Hyperlink"/>
            <w:rFonts w:ascii="Calibri Light" w:hAnsi="Calibri Light" w:cs="Calibri Light"/>
          </w:rPr>
          <w:t>2</w:t>
        </w:r>
        <w:r w:rsidRPr="00AE7157">
          <w:rPr>
            <w:rStyle w:val="Hyperlink"/>
            <w:rFonts w:ascii="Calibri Light" w:hAnsi="Calibri Light" w:cs="Calibri Light"/>
          </w:rPr>
          <w:t>] above for more information on this</w:t>
        </w:r>
      </w:hyperlink>
      <w:r>
        <w:rPr>
          <w:rFonts w:ascii="Calibri Light" w:hAnsi="Calibri Light" w:cs="Calibri Light"/>
        </w:rPr>
        <w:t>)</w:t>
      </w:r>
      <w:r w:rsidR="00820136">
        <w:rPr>
          <w:rFonts w:ascii="Calibri Light" w:hAnsi="Calibri Light" w:cs="Calibri Light"/>
        </w:rPr>
        <w:t>?</w:t>
      </w:r>
      <w:r>
        <w:rPr>
          <w:rFonts w:ascii="Calibri Light" w:hAnsi="Calibri Light" w:cs="Calibri Light"/>
        </w:rPr>
        <w:t xml:space="preserve"> </w:t>
      </w:r>
    </w:p>
    <w:p w14:paraId="44C79588" w14:textId="66C92C31" w:rsidR="00E34902" w:rsidRPr="00B73A46" w:rsidRDefault="00E34902" w:rsidP="00E34902">
      <w:pPr>
        <w:pStyle w:val="ListParagraph"/>
        <w:numPr>
          <w:ilvl w:val="0"/>
          <w:numId w:val="1"/>
        </w:numPr>
        <w:spacing w:after="200" w:line="276" w:lineRule="auto"/>
        <w:ind w:left="426" w:right="56"/>
        <w:rPr>
          <w:rFonts w:ascii="Calibri Light" w:hAnsi="Calibri Light" w:cs="Calibri Light"/>
        </w:rPr>
      </w:pPr>
      <w:r w:rsidRPr="00501A45">
        <w:t xml:space="preserve">Could more be done to ensure that the parties know what </w:t>
      </w:r>
      <w:r w:rsidR="00202874" w:rsidRPr="00501A45">
        <w:t>the confidentiality clause</w:t>
      </w:r>
      <w:r w:rsidRPr="00501A45">
        <w:t xml:space="preserve"> means</w:t>
      </w:r>
      <w:r w:rsidR="00202874" w:rsidRPr="00501A45">
        <w:t xml:space="preserve"> for them</w:t>
      </w:r>
      <w:r w:rsidRPr="00501A45">
        <w:t>?</w:t>
      </w:r>
    </w:p>
    <w:p w14:paraId="4EB14A90" w14:textId="50858936" w:rsidR="006E181F" w:rsidRDefault="00B73A46" w:rsidP="00E34902">
      <w:pPr>
        <w:pStyle w:val="ListParagraph"/>
        <w:numPr>
          <w:ilvl w:val="0"/>
          <w:numId w:val="1"/>
        </w:numPr>
        <w:spacing w:after="200" w:line="276" w:lineRule="auto"/>
        <w:ind w:left="426" w:right="56"/>
        <w:rPr>
          <w:rFonts w:ascii="Calibri Light" w:hAnsi="Calibri Light" w:cs="Calibri Light"/>
        </w:rPr>
      </w:pPr>
      <w:r>
        <w:rPr>
          <w:rFonts w:ascii="Calibri Light" w:hAnsi="Calibri Light" w:cs="Calibri Light"/>
        </w:rPr>
        <w:t xml:space="preserve">Does the document need to be translated, or made available in Easy English, braille or any other format? </w:t>
      </w:r>
    </w:p>
    <w:p w14:paraId="0E49191E" w14:textId="0B8E708C" w:rsidR="004F35CD" w:rsidRPr="004E3B94" w:rsidRDefault="004F35CD" w:rsidP="00660D7C">
      <w:pPr>
        <w:pStyle w:val="Heading1"/>
      </w:pPr>
      <w:r>
        <w:t xml:space="preserve">5. </w:t>
      </w:r>
      <w:r w:rsidRPr="004E3B94">
        <w:t xml:space="preserve">The person who made the allegation should have access to independent support or advice to ensure they fully understand the meaning and impact of the </w:t>
      </w:r>
      <w:r w:rsidR="00027A20">
        <w:t>settlement agreement</w:t>
      </w:r>
      <w:r w:rsidR="00C7646F">
        <w:t xml:space="preserve">, including any </w:t>
      </w:r>
      <w:r w:rsidRPr="004E3B94">
        <w:t>confidentiality clause</w:t>
      </w:r>
    </w:p>
    <w:p w14:paraId="436C1113" w14:textId="7368BE60" w:rsidR="006D0631" w:rsidRDefault="006D0631" w:rsidP="00F70BBF">
      <w:pPr>
        <w:rPr>
          <w:rFonts w:ascii="Calibri Light" w:hAnsi="Calibri Light" w:cs="Calibri Light"/>
        </w:rPr>
      </w:pPr>
      <w:r>
        <w:rPr>
          <w:rFonts w:cstheme="majorHAnsi"/>
        </w:rPr>
        <w:t>D</w:t>
      </w:r>
      <w:r w:rsidRPr="00DE30AB">
        <w:rPr>
          <w:rFonts w:cstheme="majorHAnsi"/>
        </w:rPr>
        <w:t xml:space="preserve">iscussions about the use of confidentiality clauses should </w:t>
      </w:r>
      <w:r w:rsidR="00345000">
        <w:rPr>
          <w:rFonts w:cstheme="majorHAnsi"/>
        </w:rPr>
        <w:t>ensure</w:t>
      </w:r>
      <w:r w:rsidR="00345000" w:rsidRPr="00DE30AB">
        <w:rPr>
          <w:rFonts w:cstheme="majorHAnsi"/>
        </w:rPr>
        <w:t xml:space="preserve"> </w:t>
      </w:r>
      <w:r w:rsidR="002F3B8B">
        <w:rPr>
          <w:rFonts w:eastAsia="Times New Roman" w:cstheme="majorHAnsi"/>
        </w:rPr>
        <w:t>so far as possible</w:t>
      </w:r>
      <w:r w:rsidR="002F3B8B" w:rsidRPr="00B22210">
        <w:rPr>
          <w:rFonts w:eastAsia="Times New Roman" w:cstheme="majorHAnsi"/>
        </w:rPr>
        <w:t xml:space="preserve"> the </w:t>
      </w:r>
      <w:r w:rsidRPr="00DE30AB">
        <w:rPr>
          <w:rFonts w:cstheme="majorHAnsi"/>
        </w:rPr>
        <w:t xml:space="preserve">wellbeing and safety of the </w:t>
      </w:r>
      <w:r>
        <w:rPr>
          <w:rFonts w:cstheme="majorHAnsi"/>
        </w:rPr>
        <w:t>p</w:t>
      </w:r>
      <w:r w:rsidRPr="00DE30AB">
        <w:rPr>
          <w:rFonts w:cstheme="majorHAnsi"/>
        </w:rPr>
        <w:t>erson</w:t>
      </w:r>
      <w:r>
        <w:rPr>
          <w:rFonts w:cstheme="majorHAnsi"/>
        </w:rPr>
        <w:t xml:space="preserve"> </w:t>
      </w:r>
      <w:r w:rsidRPr="00DE30AB">
        <w:rPr>
          <w:rFonts w:cstheme="majorHAnsi"/>
        </w:rPr>
        <w:t>who made the allegation</w:t>
      </w:r>
      <w:r>
        <w:rPr>
          <w:rFonts w:cstheme="majorHAnsi"/>
        </w:rPr>
        <w:t xml:space="preserve">, and </w:t>
      </w:r>
      <w:r w:rsidR="00345000">
        <w:rPr>
          <w:rFonts w:cstheme="majorHAnsi"/>
        </w:rPr>
        <w:t xml:space="preserve">that </w:t>
      </w:r>
      <w:r>
        <w:rPr>
          <w:rFonts w:cstheme="majorHAnsi"/>
        </w:rPr>
        <w:t xml:space="preserve">they are adequately supported to participate fully and safely in the process. </w:t>
      </w:r>
      <w:r w:rsidR="00C6341C" w:rsidRPr="00501A45">
        <w:t xml:space="preserve">If the person who made the allegation does not feel heard in the </w:t>
      </w:r>
      <w:r w:rsidR="00C6341C">
        <w:t>process of resolving their allegation of workplace sexual harassment</w:t>
      </w:r>
      <w:r w:rsidR="00C6341C" w:rsidRPr="00501A45">
        <w:t>, their sense of control, healing and ongoing wellbeing may be compromised.</w:t>
      </w:r>
    </w:p>
    <w:p w14:paraId="508E6288" w14:textId="3F11701E" w:rsidR="00DA034F" w:rsidRDefault="00F107B4" w:rsidP="00F70BBF">
      <w:pPr>
        <w:rPr>
          <w:rFonts w:ascii="Calibri Light" w:hAnsi="Calibri Light" w:cs="Calibri Light"/>
        </w:rPr>
      </w:pPr>
      <w:r w:rsidRPr="00501A45">
        <w:rPr>
          <w:rFonts w:ascii="Calibri Light" w:hAnsi="Calibri Light" w:cs="Calibri Light"/>
        </w:rPr>
        <w:t xml:space="preserve">Independent legal advice can support the person who made the allegation to make informed decisions during the negotiation of or agreement to a </w:t>
      </w:r>
      <w:r w:rsidR="00027A20">
        <w:rPr>
          <w:rFonts w:ascii="Calibri Light" w:hAnsi="Calibri Light" w:cs="Calibri Light"/>
        </w:rPr>
        <w:t>settlement agreement</w:t>
      </w:r>
      <w:r w:rsidR="00C7646F">
        <w:rPr>
          <w:rFonts w:ascii="Calibri Light" w:hAnsi="Calibri Light" w:cs="Calibri Light"/>
        </w:rPr>
        <w:t>, including</w:t>
      </w:r>
      <w:r w:rsidR="00027A20">
        <w:rPr>
          <w:rFonts w:ascii="Calibri Light" w:hAnsi="Calibri Light" w:cs="Calibri Light"/>
        </w:rPr>
        <w:t xml:space="preserve"> </w:t>
      </w:r>
      <w:r w:rsidR="00C7646F">
        <w:rPr>
          <w:rFonts w:ascii="Calibri Light" w:hAnsi="Calibri Light" w:cs="Calibri Light"/>
        </w:rPr>
        <w:t xml:space="preserve">any </w:t>
      </w:r>
      <w:r w:rsidR="00027A20">
        <w:rPr>
          <w:rFonts w:ascii="Calibri Light" w:hAnsi="Calibri Light" w:cs="Calibri Light"/>
        </w:rPr>
        <w:t>confidentiality clause</w:t>
      </w:r>
      <w:r w:rsidRPr="00501A45">
        <w:rPr>
          <w:rFonts w:ascii="Calibri Light" w:hAnsi="Calibri Light" w:cs="Calibri Light"/>
        </w:rPr>
        <w:t xml:space="preserve">. </w:t>
      </w:r>
      <w:r w:rsidR="00DA034F">
        <w:rPr>
          <w:rFonts w:ascii="Calibri Light" w:hAnsi="Calibri Light" w:cs="Calibri Light"/>
        </w:rPr>
        <w:t xml:space="preserve">The </w:t>
      </w:r>
      <w:r w:rsidR="00140039">
        <w:rPr>
          <w:rFonts w:ascii="Calibri Light" w:hAnsi="Calibri Light" w:cs="Calibri Light"/>
        </w:rPr>
        <w:t>(</w:t>
      </w:r>
      <w:r w:rsidR="00D435F1">
        <w:rPr>
          <w:rFonts w:ascii="Calibri Light" w:hAnsi="Calibri Light" w:cs="Calibri Light"/>
        </w:rPr>
        <w:t>‘</w:t>
      </w:r>
      <w:hyperlink w:anchor="_Where_to_find" w:history="1">
        <w:r w:rsidR="00D435F1">
          <w:rPr>
            <w:rStyle w:val="Hyperlink"/>
            <w:rFonts w:ascii="Calibri Light" w:hAnsi="Calibri Light" w:cs="Calibri Light"/>
          </w:rPr>
          <w:t>Where to find help’</w:t>
        </w:r>
      </w:hyperlink>
      <w:r w:rsidR="00B73A46">
        <w:rPr>
          <w:rFonts w:ascii="Calibri Light" w:hAnsi="Calibri Light" w:cs="Calibri Light"/>
        </w:rPr>
        <w:t xml:space="preserve"> section</w:t>
      </w:r>
      <w:r w:rsidR="00140039">
        <w:rPr>
          <w:rFonts w:ascii="Calibri Light" w:hAnsi="Calibri Light" w:cs="Calibri Light"/>
        </w:rPr>
        <w:t>)</w:t>
      </w:r>
      <w:r w:rsidR="00DA034F">
        <w:rPr>
          <w:rFonts w:ascii="Calibri Light" w:hAnsi="Calibri Light" w:cs="Calibri Light"/>
        </w:rPr>
        <w:t xml:space="preserve"> on page</w:t>
      </w:r>
      <w:r w:rsidR="00FB69DD">
        <w:rPr>
          <w:rFonts w:ascii="Calibri Light" w:hAnsi="Calibri Light" w:cs="Calibri Light"/>
        </w:rPr>
        <w:t xml:space="preserve"> </w:t>
      </w:r>
      <w:r w:rsidR="00FB69DD">
        <w:rPr>
          <w:rFonts w:ascii="Calibri Light" w:hAnsi="Calibri Light" w:cs="Calibri Light"/>
        </w:rPr>
        <w:fldChar w:fldCharType="begin"/>
      </w:r>
      <w:r w:rsidR="00FB69DD">
        <w:rPr>
          <w:rFonts w:ascii="Calibri Light" w:hAnsi="Calibri Light" w:cs="Calibri Light"/>
        </w:rPr>
        <w:instrText xml:space="preserve"> PAGEREF _Ref112585485 \h </w:instrText>
      </w:r>
      <w:r w:rsidR="00FB69DD">
        <w:rPr>
          <w:rFonts w:ascii="Calibri Light" w:hAnsi="Calibri Light" w:cs="Calibri Light"/>
        </w:rPr>
      </w:r>
      <w:r w:rsidR="00FB69DD">
        <w:rPr>
          <w:rFonts w:ascii="Calibri Light" w:hAnsi="Calibri Light" w:cs="Calibri Light"/>
        </w:rPr>
        <w:fldChar w:fldCharType="separate"/>
      </w:r>
      <w:r w:rsidR="00FB69DD">
        <w:rPr>
          <w:rFonts w:ascii="Calibri Light" w:hAnsi="Calibri Light" w:cs="Calibri Light"/>
          <w:noProof/>
        </w:rPr>
        <w:t>15</w:t>
      </w:r>
      <w:r w:rsidR="00FB69DD">
        <w:rPr>
          <w:rFonts w:ascii="Calibri Light" w:hAnsi="Calibri Light" w:cs="Calibri Light"/>
        </w:rPr>
        <w:fldChar w:fldCharType="end"/>
      </w:r>
      <w:r w:rsidR="00DA034F">
        <w:rPr>
          <w:rFonts w:ascii="Calibri Light" w:hAnsi="Calibri Light" w:cs="Calibri Light"/>
        </w:rPr>
        <w:t xml:space="preserve"> contains resources for obtaining independent legal advice. </w:t>
      </w:r>
    </w:p>
    <w:p w14:paraId="41A2DF32" w14:textId="7249742E" w:rsidR="00F107B4" w:rsidRPr="00501A45" w:rsidRDefault="00F107B4" w:rsidP="00F70BBF">
      <w:pPr>
        <w:rPr>
          <w:rFonts w:ascii="Calibri Light" w:hAnsi="Calibri Light" w:cs="Calibri Light"/>
        </w:rPr>
      </w:pPr>
      <w:r w:rsidRPr="00501A45">
        <w:rPr>
          <w:rFonts w:ascii="Calibri Light" w:hAnsi="Calibri Light" w:cs="Calibri Light"/>
        </w:rPr>
        <w:t xml:space="preserve">Similarly, access to counselling services can ensure that the person who made the allegation is psychologically safe and supported throughout the negotiation and agreement process. Organisations should ensure that the </w:t>
      </w:r>
      <w:r w:rsidRPr="00501A45">
        <w:rPr>
          <w:rFonts w:ascii="Calibri Light" w:hAnsi="Calibri Light" w:cs="Calibri Light"/>
        </w:rPr>
        <w:lastRenderedPageBreak/>
        <w:t>person who made the allegation is aware of available resources and has ample time to access them</w:t>
      </w:r>
      <w:r w:rsidR="00DA034F">
        <w:rPr>
          <w:rFonts w:ascii="Calibri Light" w:hAnsi="Calibri Light" w:cs="Calibri Light"/>
        </w:rPr>
        <w:t xml:space="preserve"> ahead of and during settlement agreement negotiations</w:t>
      </w:r>
      <w:r w:rsidRPr="00501A45">
        <w:rPr>
          <w:rFonts w:ascii="Calibri Light" w:hAnsi="Calibri Light" w:cs="Calibri Light"/>
        </w:rPr>
        <w:t>.</w:t>
      </w:r>
    </w:p>
    <w:p w14:paraId="4076CD91" w14:textId="1B344A33" w:rsidR="0033577C" w:rsidRPr="00501A45" w:rsidRDefault="0033577C" w:rsidP="00C05B7F">
      <w:pPr>
        <w:pStyle w:val="Heading2"/>
      </w:pPr>
      <w:r w:rsidRPr="00501A45">
        <w:t>Manag</w:t>
      </w:r>
      <w:r w:rsidR="00BD102D">
        <w:t>e</w:t>
      </w:r>
      <w:r w:rsidRPr="00501A45">
        <w:t xml:space="preserve"> </w:t>
      </w:r>
      <w:r w:rsidR="00552B61">
        <w:t>p</w:t>
      </w:r>
      <w:r w:rsidRPr="00501A45">
        <w:t xml:space="preserve">ower </w:t>
      </w:r>
      <w:r w:rsidR="00552B61">
        <w:t>i</w:t>
      </w:r>
      <w:r w:rsidRPr="00501A45">
        <w:t>mbalances</w:t>
      </w:r>
    </w:p>
    <w:p w14:paraId="47E28352" w14:textId="4DCF38DF" w:rsidR="00F70BBF" w:rsidRPr="00501A45" w:rsidRDefault="00F107B4" w:rsidP="00F70BBF">
      <w:r w:rsidRPr="00501A45">
        <w:t>O</w:t>
      </w:r>
      <w:r w:rsidR="00F70BBF" w:rsidRPr="00501A45">
        <w:t xml:space="preserve">rganisations and their legal representatives should be mindful of power imbalances when negotiating settlement agreements. </w:t>
      </w:r>
    </w:p>
    <w:p w14:paraId="57D4B1DC" w14:textId="422BDE15" w:rsidR="00F70BBF" w:rsidRPr="00501A45" w:rsidRDefault="00F70BBF" w:rsidP="00F70BBF">
      <w:r w:rsidRPr="00501A45">
        <w:t>Power imbalances may result from different work roles, age differences, a person’s visa or migration status and other circumstances that may put a person at a disadvantage. When negotiating a settlement agreement, power imbalances can also arise when one person has access to more resources than another, or where there is no access to independent advice or a lack of awareness of legal rights.</w:t>
      </w:r>
      <w:r w:rsidR="00C05B7F">
        <w:t xml:space="preserve"> There is further information on </w:t>
      </w:r>
      <w:r w:rsidRPr="00501A45">
        <w:t>how to consider the diverse needs of all people involved when negotiating a settlement agreement</w:t>
      </w:r>
      <w:r w:rsidR="00C05B7F">
        <w:t xml:space="preserve"> below</w:t>
      </w:r>
      <w:r w:rsidRPr="00501A45">
        <w:t>.</w:t>
      </w:r>
    </w:p>
    <w:p w14:paraId="15B8334B" w14:textId="23B6D41E" w:rsidR="00F70BBF" w:rsidRPr="00501A45" w:rsidRDefault="00F70BBF" w:rsidP="00F70BBF">
      <w:r w:rsidRPr="00501A45">
        <w:t>Power imbalances can include</w:t>
      </w:r>
      <w:r w:rsidR="00B73A46">
        <w:t>, or result in,</w:t>
      </w:r>
      <w:r w:rsidRPr="00501A45">
        <w:t xml:space="preserve"> using undue influence or pressure to secure agreement to a confidentiality clause. No one should organise or take, or threaten to organise or take, any action against another person with intent to</w:t>
      </w:r>
      <w:r w:rsidR="00806A33">
        <w:t xml:space="preserve"> pressure</w:t>
      </w:r>
      <w:r w:rsidRPr="00501A45">
        <w:t xml:space="preserve"> them into requesting or agreeing to a confidentiality clause</w:t>
      </w:r>
      <w:r w:rsidR="005C2D0E">
        <w:t>.</w:t>
      </w:r>
      <w:r w:rsidRPr="00501A45">
        <w:t xml:space="preserve"> </w:t>
      </w:r>
    </w:p>
    <w:p w14:paraId="190062C9" w14:textId="3D34D630" w:rsidR="00F70BBF" w:rsidRPr="00501A45" w:rsidRDefault="003C3474" w:rsidP="00F70BBF">
      <w:r>
        <w:t>A</w:t>
      </w:r>
      <w:r w:rsidR="00F70BBF" w:rsidRPr="00501A45">
        <w:t xml:space="preserve">ll people involved in negotiating a settlement agreement should work to anticipate and manage any power imbalances to minimise the potential for unfairness. </w:t>
      </w:r>
    </w:p>
    <w:p w14:paraId="20CE34A7" w14:textId="7105AF9E" w:rsidR="00E34902" w:rsidRPr="00501A45" w:rsidRDefault="00E34902" w:rsidP="00E34902">
      <w:pPr>
        <w:pStyle w:val="Heading2"/>
        <w:ind w:right="56"/>
      </w:pPr>
      <w:r w:rsidRPr="00501A45">
        <w:t>Allow time for consideration and advice before signing</w:t>
      </w:r>
      <w:r w:rsidR="003771E4">
        <w:t xml:space="preserve"> any settlement agreement</w:t>
      </w:r>
    </w:p>
    <w:p w14:paraId="31642072" w14:textId="30E68429" w:rsidR="003771E4" w:rsidRDefault="003771E4" w:rsidP="00E34902">
      <w:pPr>
        <w:spacing w:after="200" w:line="276" w:lineRule="auto"/>
        <w:ind w:right="56"/>
        <w:rPr>
          <w:rFonts w:ascii="Calibri Light" w:hAnsi="Calibri Light" w:cs="Calibri Light"/>
        </w:rPr>
      </w:pPr>
      <w:r>
        <w:rPr>
          <w:rFonts w:ascii="Calibri Light" w:hAnsi="Calibri Light" w:cs="Calibri Light"/>
        </w:rPr>
        <w:t xml:space="preserve">The person who made the allegation should be provided with a reasonable amount of </w:t>
      </w:r>
      <w:r w:rsidR="005C2D0E">
        <w:rPr>
          <w:rFonts w:ascii="Calibri Light" w:hAnsi="Calibri Light" w:cs="Calibri Light"/>
        </w:rPr>
        <w:t xml:space="preserve">time </w:t>
      </w:r>
      <w:r>
        <w:rPr>
          <w:rFonts w:ascii="Calibri Light" w:hAnsi="Calibri Light" w:cs="Calibri Light"/>
        </w:rPr>
        <w:t xml:space="preserve">to </w:t>
      </w:r>
      <w:r w:rsidRPr="00501A45">
        <w:rPr>
          <w:rFonts w:ascii="Calibri Light" w:hAnsi="Calibri Light" w:cs="Calibri Light"/>
        </w:rPr>
        <w:t xml:space="preserve">seek </w:t>
      </w:r>
      <w:r>
        <w:rPr>
          <w:rFonts w:ascii="Calibri Light" w:hAnsi="Calibri Light" w:cs="Calibri Light"/>
        </w:rPr>
        <w:t xml:space="preserve">independent </w:t>
      </w:r>
      <w:r w:rsidRPr="00501A45">
        <w:rPr>
          <w:rFonts w:ascii="Calibri Light" w:hAnsi="Calibri Light" w:cs="Calibri Light"/>
        </w:rPr>
        <w:t xml:space="preserve">legal advice </w:t>
      </w:r>
      <w:r>
        <w:rPr>
          <w:rFonts w:ascii="Calibri Light" w:hAnsi="Calibri Light" w:cs="Calibri Light"/>
        </w:rPr>
        <w:t xml:space="preserve">before and </w:t>
      </w:r>
      <w:r w:rsidRPr="00501A45">
        <w:rPr>
          <w:rFonts w:ascii="Calibri Light" w:hAnsi="Calibri Light" w:cs="Calibri Light"/>
        </w:rPr>
        <w:t>during negotiations and before signing</w:t>
      </w:r>
      <w:r>
        <w:rPr>
          <w:rFonts w:ascii="Calibri Light" w:hAnsi="Calibri Light" w:cs="Calibri Light"/>
        </w:rPr>
        <w:t xml:space="preserve"> any settlement agreement</w:t>
      </w:r>
      <w:r w:rsidRPr="00501A45">
        <w:rPr>
          <w:rFonts w:ascii="Calibri Light" w:hAnsi="Calibri Light" w:cs="Calibri Light"/>
        </w:rPr>
        <w:t xml:space="preserve">. </w:t>
      </w:r>
    </w:p>
    <w:p w14:paraId="78833CCB" w14:textId="7EF03169" w:rsidR="003771E4" w:rsidRDefault="003771E4" w:rsidP="00E34902">
      <w:pPr>
        <w:spacing w:after="200" w:line="276" w:lineRule="auto"/>
        <w:ind w:right="56"/>
        <w:rPr>
          <w:rFonts w:ascii="Calibri Light" w:hAnsi="Calibri Light" w:cs="Calibri Light"/>
        </w:rPr>
      </w:pPr>
      <w:r>
        <w:rPr>
          <w:rFonts w:ascii="Calibri Light" w:hAnsi="Calibri Light" w:cs="Calibri Light"/>
        </w:rPr>
        <w:t>The person who made the allegation should also be provided with a</w:t>
      </w:r>
      <w:r w:rsidR="00E34902" w:rsidRPr="00501A45">
        <w:rPr>
          <w:rFonts w:ascii="Calibri Light" w:hAnsi="Calibri Light" w:cs="Calibri Light"/>
        </w:rPr>
        <w:t xml:space="preserve"> reasonable amount of time to read</w:t>
      </w:r>
      <w:r>
        <w:rPr>
          <w:rFonts w:ascii="Calibri Light" w:hAnsi="Calibri Light" w:cs="Calibri Light"/>
        </w:rPr>
        <w:t xml:space="preserve"> and understand any proposed settlement agreement and</w:t>
      </w:r>
      <w:r w:rsidR="00E34902" w:rsidRPr="00501A45">
        <w:rPr>
          <w:rFonts w:ascii="Calibri Light" w:hAnsi="Calibri Light" w:cs="Calibri Light"/>
        </w:rPr>
        <w:t xml:space="preserve"> confidentiality clauses</w:t>
      </w:r>
      <w:r>
        <w:rPr>
          <w:rFonts w:ascii="Calibri Light" w:hAnsi="Calibri Light" w:cs="Calibri Light"/>
        </w:rPr>
        <w:t xml:space="preserve"> before</w:t>
      </w:r>
      <w:r w:rsidR="00E34902" w:rsidRPr="00501A45">
        <w:rPr>
          <w:rFonts w:ascii="Calibri Light" w:hAnsi="Calibri Light" w:cs="Calibri Light"/>
        </w:rPr>
        <w:t xml:space="preserve"> </w:t>
      </w:r>
      <w:r>
        <w:rPr>
          <w:rFonts w:ascii="Calibri Light" w:hAnsi="Calibri Light" w:cs="Calibri Light"/>
        </w:rPr>
        <w:t xml:space="preserve">signing the agreement. </w:t>
      </w:r>
    </w:p>
    <w:p w14:paraId="331D4A5B" w14:textId="724F2E73" w:rsidR="00E34902" w:rsidRPr="00501A45" w:rsidRDefault="00E34902" w:rsidP="00C05B7F">
      <w:pPr>
        <w:pStyle w:val="Heading2"/>
      </w:pPr>
      <w:r w:rsidRPr="00C05B7F">
        <w:t>Mediat</w:t>
      </w:r>
      <w:r w:rsidR="002A64C1">
        <w:t>ion</w:t>
      </w:r>
      <w:r w:rsidRPr="00501A45">
        <w:t xml:space="preserve"> and </w:t>
      </w:r>
      <w:r w:rsidR="00BD102D">
        <w:t>c</w:t>
      </w:r>
      <w:r w:rsidRPr="00501A45">
        <w:t>onciliat</w:t>
      </w:r>
      <w:r w:rsidR="002A64C1">
        <w:t>ion</w:t>
      </w:r>
    </w:p>
    <w:p w14:paraId="18B62AD7" w14:textId="00EE97A8" w:rsidR="00415B69" w:rsidRDefault="00415B69" w:rsidP="00415B69">
      <w:pPr>
        <w:ind w:right="56"/>
        <w:rPr>
          <w:rFonts w:cstheme="majorBidi"/>
        </w:rPr>
      </w:pPr>
      <w:r w:rsidRPr="00501A45">
        <w:rPr>
          <w:rFonts w:cstheme="majorBidi"/>
        </w:rPr>
        <w:t>Mediation or conciliation is a process where practitioners assist parties</w:t>
      </w:r>
      <w:r w:rsidR="00820136">
        <w:rPr>
          <w:rFonts w:cstheme="majorBidi"/>
        </w:rPr>
        <w:t xml:space="preserve"> to resolve a complaint</w:t>
      </w:r>
      <w:r w:rsidRPr="00501A45">
        <w:rPr>
          <w:rFonts w:cstheme="majorBidi"/>
        </w:rPr>
        <w:t>.</w:t>
      </w:r>
      <w:r w:rsidRPr="00415B69">
        <w:rPr>
          <w:rFonts w:cstheme="majorBidi"/>
        </w:rPr>
        <w:t xml:space="preserve"> </w:t>
      </w:r>
      <w:r w:rsidRPr="00501A45">
        <w:rPr>
          <w:rFonts w:cstheme="majorBidi"/>
        </w:rPr>
        <w:t>The practitioner helps the parties to identify issues and develop options to reach an agreement to resolve the dispute.</w:t>
      </w:r>
      <w:r w:rsidR="003771E4">
        <w:rPr>
          <w:rFonts w:cstheme="majorBidi"/>
        </w:rPr>
        <w:t xml:space="preserve"> </w:t>
      </w:r>
    </w:p>
    <w:p w14:paraId="4F4BB4D9" w14:textId="1EAA4C46" w:rsidR="00415B69" w:rsidRPr="00501A45" w:rsidRDefault="00415B69" w:rsidP="00415B69">
      <w:pPr>
        <w:ind w:right="56"/>
        <w:rPr>
          <w:rFonts w:cstheme="majorBidi"/>
        </w:rPr>
      </w:pPr>
      <w:r w:rsidRPr="00501A45">
        <w:rPr>
          <w:rFonts w:cstheme="majorBidi"/>
        </w:rPr>
        <w:t xml:space="preserve">The settlement process </w:t>
      </w:r>
      <w:r w:rsidR="008150D0">
        <w:rPr>
          <w:rFonts w:cstheme="majorBidi"/>
        </w:rPr>
        <w:t>may</w:t>
      </w:r>
      <w:r w:rsidR="008150D0" w:rsidRPr="00501A45">
        <w:rPr>
          <w:rFonts w:cstheme="majorBidi"/>
        </w:rPr>
        <w:t xml:space="preserve"> </w:t>
      </w:r>
      <w:r w:rsidRPr="00501A45">
        <w:rPr>
          <w:rFonts w:cstheme="majorBidi"/>
        </w:rPr>
        <w:t xml:space="preserve">involve conciliation or mediation between the employer and the person making the allegation, and sometimes, the alleged harasser. </w:t>
      </w:r>
      <w:r w:rsidR="00C05B7F">
        <w:rPr>
          <w:rFonts w:cstheme="majorBidi"/>
        </w:rPr>
        <w:t>Where possible, a</w:t>
      </w:r>
      <w:r w:rsidR="00C05B7F">
        <w:rPr>
          <w:rFonts w:ascii="Calibri Light" w:hAnsi="Calibri Light" w:cs="Calibri Light"/>
        </w:rPr>
        <w:t xml:space="preserve">ttempts to resolve workplace sexual harassment complaints by </w:t>
      </w:r>
      <w:r w:rsidR="00C05B7F" w:rsidRPr="00D62C83">
        <w:rPr>
          <w:rFonts w:ascii="Calibri Light" w:hAnsi="Calibri Light" w:cs="Calibri Light"/>
        </w:rPr>
        <w:t>conciliation or mediation should be facilitated by someone who is impartial and</w:t>
      </w:r>
      <w:r w:rsidR="00C05B7F">
        <w:rPr>
          <w:rFonts w:ascii="Calibri Light" w:hAnsi="Calibri Light" w:cs="Calibri Light"/>
        </w:rPr>
        <w:t xml:space="preserve">, </w:t>
      </w:r>
      <w:r w:rsidR="002B6732">
        <w:rPr>
          <w:rFonts w:ascii="Calibri Light" w:hAnsi="Calibri Light" w:cs="Calibri Light"/>
        </w:rPr>
        <w:t>ideally</w:t>
      </w:r>
      <w:r w:rsidR="00C05B7F">
        <w:rPr>
          <w:rFonts w:ascii="Calibri Light" w:hAnsi="Calibri Light" w:cs="Calibri Light"/>
        </w:rPr>
        <w:t>,</w:t>
      </w:r>
      <w:r w:rsidR="00C05B7F" w:rsidRPr="00D62C83">
        <w:rPr>
          <w:rFonts w:ascii="Calibri Light" w:hAnsi="Calibri Light" w:cs="Calibri Light"/>
        </w:rPr>
        <w:t xml:space="preserve"> independent from all parties involved. </w:t>
      </w:r>
      <w:r w:rsidRPr="00501A45">
        <w:rPr>
          <w:rFonts w:cstheme="majorBidi"/>
        </w:rPr>
        <w:t xml:space="preserve">This </w:t>
      </w:r>
      <w:r w:rsidR="005B6678">
        <w:rPr>
          <w:rFonts w:cstheme="majorBidi"/>
        </w:rPr>
        <w:t xml:space="preserve">helps to </w:t>
      </w:r>
      <w:r w:rsidRPr="00501A45">
        <w:rPr>
          <w:rFonts w:cstheme="majorBidi"/>
        </w:rPr>
        <w:t xml:space="preserve">ensure the needs of all involved are heard so that they can inform any settlement agreement on terms that are appropriate and fair. </w:t>
      </w:r>
    </w:p>
    <w:p w14:paraId="7DCD9856" w14:textId="72806C7E" w:rsidR="00C05B7F" w:rsidRPr="00501A45" w:rsidRDefault="00C05B7F" w:rsidP="00C05B7F">
      <w:pPr>
        <w:ind w:right="56"/>
        <w:rPr>
          <w:rFonts w:cstheme="majorBidi"/>
        </w:rPr>
      </w:pPr>
      <w:r>
        <w:rPr>
          <w:rFonts w:cstheme="majorBidi"/>
        </w:rPr>
        <w:t>Where possible, m</w:t>
      </w:r>
      <w:r w:rsidR="00E34902" w:rsidRPr="00501A45">
        <w:rPr>
          <w:rFonts w:cstheme="majorBidi"/>
        </w:rPr>
        <w:t xml:space="preserve">ediation or conciliation should be conducted by a qualified mediator or conciliator who has been trained in trauma-informed practice and cultural competency. </w:t>
      </w:r>
    </w:p>
    <w:p w14:paraId="63F7AA81" w14:textId="710B7193" w:rsidR="00E34902" w:rsidRPr="00501A45" w:rsidRDefault="008150D0" w:rsidP="00E34902">
      <w:pPr>
        <w:ind w:right="56"/>
        <w:rPr>
          <w:rFonts w:cstheme="majorBidi"/>
        </w:rPr>
      </w:pPr>
      <w:r>
        <w:rPr>
          <w:rFonts w:cstheme="majorBidi"/>
        </w:rPr>
        <w:t>Where possible, r</w:t>
      </w:r>
      <w:r w:rsidR="00E34902" w:rsidRPr="00501A45">
        <w:rPr>
          <w:rFonts w:cstheme="majorBidi"/>
        </w:rPr>
        <w:t>epresentatives employed by the organisation from which the workplace sexual harassment complaint arose should not facilitate the negotiations due to a risk of</w:t>
      </w:r>
      <w:r w:rsidR="002B6732">
        <w:rPr>
          <w:rFonts w:cstheme="majorBidi"/>
        </w:rPr>
        <w:t xml:space="preserve"> bias.</w:t>
      </w:r>
      <w:r w:rsidR="00E34902" w:rsidRPr="00501A45">
        <w:rPr>
          <w:rFonts w:cstheme="majorBidi"/>
        </w:rPr>
        <w:t xml:space="preserve"> </w:t>
      </w:r>
    </w:p>
    <w:p w14:paraId="2F54FB91" w14:textId="6398BF08" w:rsidR="00E34902" w:rsidRPr="00501A45" w:rsidRDefault="00E34902" w:rsidP="00E34902">
      <w:pPr>
        <w:ind w:right="56"/>
        <w:rPr>
          <w:rFonts w:cstheme="majorBidi"/>
        </w:rPr>
      </w:pPr>
      <w:r w:rsidRPr="00501A45">
        <w:rPr>
          <w:rFonts w:cstheme="majorBidi"/>
        </w:rPr>
        <w:t>The mediator or conciliator should encourage</w:t>
      </w:r>
      <w:r w:rsidR="000E2C8C">
        <w:rPr>
          <w:rFonts w:cstheme="majorBidi"/>
        </w:rPr>
        <w:t xml:space="preserve"> the person</w:t>
      </w:r>
      <w:r w:rsidR="00001E87">
        <w:rPr>
          <w:rFonts w:cstheme="majorBidi"/>
        </w:rPr>
        <w:t xml:space="preserve"> who made the allegation </w:t>
      </w:r>
      <w:r w:rsidRPr="00501A45">
        <w:rPr>
          <w:rFonts w:cstheme="majorBidi"/>
        </w:rPr>
        <w:t>to seek independent legal advice</w:t>
      </w:r>
      <w:r w:rsidR="00184014">
        <w:t xml:space="preserve"> </w:t>
      </w:r>
      <w:r w:rsidRPr="00501A45">
        <w:rPr>
          <w:rFonts w:cstheme="majorBidi"/>
        </w:rPr>
        <w:t>prior to signing any agreement containing confidentiality clauses and provide adequate time to source such support. The mediator or conciliator should also provide information to the person who made the allegation about accessing legal advice and support, including through community legal centres, unions</w:t>
      </w:r>
      <w:r w:rsidR="00C05B7F">
        <w:rPr>
          <w:rFonts w:cstheme="majorBidi"/>
        </w:rPr>
        <w:t>,</w:t>
      </w:r>
      <w:r w:rsidRPr="00501A45">
        <w:rPr>
          <w:rFonts w:cstheme="majorBidi"/>
        </w:rPr>
        <w:t xml:space="preserve"> interpreting and translation services and counselling services.</w:t>
      </w:r>
    </w:p>
    <w:p w14:paraId="6A43C84F" w14:textId="62B5EB62" w:rsidR="00E34902" w:rsidRDefault="00E34902" w:rsidP="00E34902">
      <w:pPr>
        <w:ind w:right="56"/>
        <w:rPr>
          <w:rFonts w:cstheme="majorBidi"/>
        </w:rPr>
      </w:pPr>
      <w:r w:rsidRPr="00501A45">
        <w:rPr>
          <w:rFonts w:cstheme="majorBidi"/>
        </w:rPr>
        <w:t xml:space="preserve">During negotiations between parties, the mediator or conciliator should remain impartial. They should </w:t>
      </w:r>
      <w:r w:rsidR="002A64C1">
        <w:rPr>
          <w:rFonts w:cstheme="majorBidi"/>
        </w:rPr>
        <w:t>understand</w:t>
      </w:r>
      <w:r w:rsidR="002A64C1" w:rsidRPr="00501A45">
        <w:rPr>
          <w:rFonts w:cstheme="majorBidi"/>
        </w:rPr>
        <w:t xml:space="preserve"> </w:t>
      </w:r>
      <w:r w:rsidRPr="00501A45">
        <w:rPr>
          <w:rFonts w:cstheme="majorBidi"/>
        </w:rPr>
        <w:t>these Guidelines well and be mindful of any power imbalances in the negotiation of terms that might advantage one party over another.</w:t>
      </w:r>
    </w:p>
    <w:p w14:paraId="3A2EA0F0" w14:textId="77777777" w:rsidR="00E34902" w:rsidRPr="00501A45" w:rsidRDefault="00E34902" w:rsidP="00BD5693">
      <w:pPr>
        <w:keepNext/>
        <w:spacing w:after="200" w:line="276" w:lineRule="auto"/>
        <w:ind w:right="57"/>
        <w:rPr>
          <w:rFonts w:ascii="Calibri Light" w:hAnsi="Calibri Light" w:cs="Calibri Light"/>
          <w:b/>
          <w:i/>
        </w:rPr>
      </w:pPr>
      <w:r w:rsidRPr="00501A45">
        <w:rPr>
          <w:rFonts w:ascii="Calibri Light" w:hAnsi="Calibri Light" w:cs="Calibri Light"/>
          <w:b/>
          <w:i/>
        </w:rPr>
        <w:lastRenderedPageBreak/>
        <w:t>Some questions to consider:</w:t>
      </w:r>
    </w:p>
    <w:p w14:paraId="28FBF319" w14:textId="75385249" w:rsidR="00D314CD" w:rsidRDefault="008125A6" w:rsidP="00BD5693">
      <w:pPr>
        <w:pStyle w:val="ListParagraph"/>
        <w:keepNext/>
        <w:numPr>
          <w:ilvl w:val="0"/>
          <w:numId w:val="1"/>
        </w:numPr>
        <w:spacing w:after="200" w:line="276" w:lineRule="auto"/>
        <w:ind w:left="426" w:right="57"/>
        <w:rPr>
          <w:rFonts w:ascii="Calibri Light" w:hAnsi="Calibri Light" w:cs="Calibri Light"/>
        </w:rPr>
      </w:pPr>
      <w:r w:rsidRPr="00501A45">
        <w:rPr>
          <w:rFonts w:ascii="Calibri Light" w:hAnsi="Calibri Light" w:cs="Calibri Light"/>
        </w:rPr>
        <w:t>Ha</w:t>
      </w:r>
      <w:r w:rsidR="00B22FD8">
        <w:rPr>
          <w:rFonts w:ascii="Calibri Light" w:hAnsi="Calibri Light" w:cs="Calibri Light"/>
        </w:rPr>
        <w:t xml:space="preserve">s the person who made the allegation </w:t>
      </w:r>
      <w:r w:rsidRPr="00501A45">
        <w:rPr>
          <w:rFonts w:ascii="Calibri Light" w:hAnsi="Calibri Light" w:cs="Calibri Light"/>
        </w:rPr>
        <w:t>had an opportunity to seek independent legal advice about the settlement agreement?</w:t>
      </w:r>
    </w:p>
    <w:p w14:paraId="6A25853D" w14:textId="1A8D583E" w:rsidR="00D314CD" w:rsidRPr="00D314CD" w:rsidRDefault="00D314CD" w:rsidP="00BD5693">
      <w:pPr>
        <w:pStyle w:val="ListParagraph"/>
        <w:keepNext/>
        <w:numPr>
          <w:ilvl w:val="0"/>
          <w:numId w:val="1"/>
        </w:numPr>
        <w:spacing w:after="200" w:line="276" w:lineRule="auto"/>
        <w:ind w:left="426" w:right="57"/>
        <w:rPr>
          <w:rFonts w:ascii="Calibri Light" w:hAnsi="Calibri Light" w:cs="Calibri Light"/>
        </w:rPr>
      </w:pPr>
      <w:r w:rsidRPr="00D314CD">
        <w:rPr>
          <w:rFonts w:ascii="Calibri Light" w:hAnsi="Calibri Light" w:cs="Calibri Light"/>
        </w:rPr>
        <w:t xml:space="preserve">Has information about access to </w:t>
      </w:r>
      <w:r w:rsidR="000E2C8C">
        <w:rPr>
          <w:rFonts w:ascii="Calibri Light" w:hAnsi="Calibri Light" w:cs="Calibri Light"/>
        </w:rPr>
        <w:t xml:space="preserve">internal and/or </w:t>
      </w:r>
      <w:r w:rsidRPr="00D314CD">
        <w:rPr>
          <w:rFonts w:ascii="Calibri Light" w:hAnsi="Calibri Light" w:cs="Calibri Light"/>
        </w:rPr>
        <w:t xml:space="preserve">external support services been provided to the person who made the allegation? </w:t>
      </w:r>
    </w:p>
    <w:p w14:paraId="260E2029" w14:textId="7B0C5647" w:rsidR="00D314CD" w:rsidRDefault="00D314CD" w:rsidP="00BD5693">
      <w:pPr>
        <w:pStyle w:val="ListParagraph"/>
        <w:keepNext/>
        <w:numPr>
          <w:ilvl w:val="0"/>
          <w:numId w:val="1"/>
        </w:numPr>
        <w:spacing w:after="200" w:line="276" w:lineRule="auto"/>
        <w:ind w:left="426" w:right="57"/>
        <w:rPr>
          <w:rFonts w:ascii="Calibri Light" w:hAnsi="Calibri Light" w:cs="Calibri Light"/>
        </w:rPr>
      </w:pPr>
      <w:r w:rsidRPr="00D314CD">
        <w:rPr>
          <w:rFonts w:ascii="Calibri Light" w:hAnsi="Calibri Light" w:cs="Calibri Light"/>
        </w:rPr>
        <w:t>What do all parties need so that they will be able to understand any confidentiality obligations in the agreement?</w:t>
      </w:r>
    </w:p>
    <w:p w14:paraId="2356D303" w14:textId="54E9DF3F" w:rsidR="002A64C1" w:rsidRPr="00D314CD" w:rsidRDefault="002A64C1" w:rsidP="00BD5693">
      <w:pPr>
        <w:pStyle w:val="ListParagraph"/>
        <w:keepNext/>
        <w:numPr>
          <w:ilvl w:val="0"/>
          <w:numId w:val="1"/>
        </w:numPr>
        <w:spacing w:after="200" w:line="276" w:lineRule="auto"/>
        <w:ind w:left="426" w:right="57"/>
        <w:rPr>
          <w:rFonts w:ascii="Calibri Light" w:hAnsi="Calibri Light" w:cs="Calibri Light"/>
        </w:rPr>
      </w:pPr>
      <w:r w:rsidRPr="00501A45">
        <w:rPr>
          <w:rFonts w:ascii="Calibri Light" w:hAnsi="Calibri Light" w:cs="Calibri Light"/>
        </w:rPr>
        <w:t>Is the person who made the allegation fully informed about what the confidentiality obligations are, and if not, do they need any additional information or support to understand?</w:t>
      </w:r>
    </w:p>
    <w:p w14:paraId="32FB05AF" w14:textId="3EA305BC" w:rsidR="00D314CD" w:rsidRDefault="00D314CD" w:rsidP="00D314CD">
      <w:pPr>
        <w:pStyle w:val="ListParagraph"/>
        <w:numPr>
          <w:ilvl w:val="0"/>
          <w:numId w:val="1"/>
        </w:numPr>
        <w:spacing w:after="200" w:line="276" w:lineRule="auto"/>
        <w:ind w:left="426" w:right="56"/>
        <w:rPr>
          <w:rFonts w:ascii="Calibri Light" w:hAnsi="Calibri Light" w:cs="Calibri Light"/>
        </w:rPr>
      </w:pPr>
      <w:r w:rsidRPr="00415B69">
        <w:rPr>
          <w:rFonts w:ascii="Calibri Light" w:hAnsi="Calibri Light" w:cs="Calibri Light"/>
        </w:rPr>
        <w:t>Has the person who made the allegation been given time to understand their rights and obligations</w:t>
      </w:r>
      <w:r>
        <w:rPr>
          <w:rFonts w:ascii="Calibri Light" w:hAnsi="Calibri Light" w:cs="Calibri Light"/>
        </w:rPr>
        <w:t xml:space="preserve">, and the terms of the settlement agreement and </w:t>
      </w:r>
      <w:r w:rsidR="0053586A" w:rsidRPr="00501A45">
        <w:rPr>
          <w:rFonts w:ascii="Calibri Light" w:hAnsi="Calibri Light" w:cs="Calibri Light"/>
        </w:rPr>
        <w:t xml:space="preserve">confidentiality </w:t>
      </w:r>
      <w:r>
        <w:rPr>
          <w:rFonts w:ascii="Calibri Light" w:hAnsi="Calibri Light" w:cs="Calibri Light"/>
        </w:rPr>
        <w:t>clause</w:t>
      </w:r>
      <w:r w:rsidR="0053586A" w:rsidRPr="00501A45">
        <w:rPr>
          <w:rFonts w:ascii="Calibri Light" w:hAnsi="Calibri Light" w:cs="Calibri Light"/>
        </w:rPr>
        <w:t>?</w:t>
      </w:r>
    </w:p>
    <w:p w14:paraId="666434E2" w14:textId="16144FC8" w:rsidR="00415B69" w:rsidRDefault="00415B69" w:rsidP="00415B69">
      <w:pPr>
        <w:pStyle w:val="ListParagraph"/>
        <w:numPr>
          <w:ilvl w:val="0"/>
          <w:numId w:val="1"/>
        </w:numPr>
        <w:spacing w:after="200" w:line="276" w:lineRule="auto"/>
        <w:ind w:left="426" w:right="56"/>
        <w:rPr>
          <w:rFonts w:ascii="Calibri Light" w:hAnsi="Calibri Light" w:cs="Calibri Light"/>
        </w:rPr>
      </w:pPr>
      <w:r w:rsidRPr="00415B69">
        <w:t>Who is facilitating the settlement agreement discussion? Will they be accepted by all parties as impartial</w:t>
      </w:r>
      <w:r w:rsidR="003226B9">
        <w:t>,</w:t>
      </w:r>
      <w:r w:rsidRPr="00415B69">
        <w:t xml:space="preserve"> independent</w:t>
      </w:r>
      <w:r w:rsidR="00492093">
        <w:t xml:space="preserve"> and qualified</w:t>
      </w:r>
      <w:r w:rsidRPr="00415B69">
        <w:t>?</w:t>
      </w:r>
      <w:r>
        <w:t xml:space="preserve"> </w:t>
      </w:r>
      <w:r w:rsidR="00492093">
        <w:t xml:space="preserve"> </w:t>
      </w:r>
    </w:p>
    <w:p w14:paraId="468D7BE2" w14:textId="77777777" w:rsidR="00BD102D" w:rsidRDefault="0033577C" w:rsidP="001D66FE">
      <w:pPr>
        <w:pStyle w:val="Heading3"/>
      </w:pPr>
      <w:r w:rsidRPr="00501A45">
        <w:t xml:space="preserve">Resources: </w:t>
      </w:r>
    </w:p>
    <w:p w14:paraId="77379D0F" w14:textId="27F39450" w:rsidR="0033577C" w:rsidRPr="00BD102D" w:rsidRDefault="0033577C" w:rsidP="00F3106B">
      <w:pPr>
        <w:pStyle w:val="ListParagraph"/>
        <w:numPr>
          <w:ilvl w:val="0"/>
          <w:numId w:val="17"/>
        </w:numPr>
        <w:rPr>
          <w:rFonts w:cstheme="majorHAnsi"/>
        </w:rPr>
      </w:pPr>
      <w:r w:rsidRPr="00BD102D">
        <w:rPr>
          <w:rFonts w:cstheme="majorHAnsi"/>
        </w:rPr>
        <w:t xml:space="preserve">The </w:t>
      </w:r>
      <w:hyperlink r:id="rId18" w:history="1">
        <w:r w:rsidRPr="00BD102D">
          <w:rPr>
            <w:rStyle w:val="Hyperlink"/>
            <w:rFonts w:cstheme="majorHAnsi"/>
          </w:rPr>
          <w:t>Australian Pro-Bono Centre</w:t>
        </w:r>
      </w:hyperlink>
      <w:r w:rsidRPr="00BD102D">
        <w:rPr>
          <w:rFonts w:cstheme="majorHAnsi"/>
        </w:rPr>
        <w:t xml:space="preserve"> offers advice and information about what organisations across various states and territories may provide legal help. </w:t>
      </w:r>
    </w:p>
    <w:p w14:paraId="58C37BA4" w14:textId="5C6DCEE8" w:rsidR="00415B69" w:rsidRPr="00BD102D" w:rsidRDefault="0033577C" w:rsidP="00F3106B">
      <w:pPr>
        <w:pStyle w:val="ListParagraph"/>
        <w:numPr>
          <w:ilvl w:val="0"/>
          <w:numId w:val="17"/>
        </w:numPr>
        <w:rPr>
          <w:rFonts w:cstheme="majorHAnsi"/>
        </w:rPr>
      </w:pPr>
      <w:r w:rsidRPr="00BD102D">
        <w:rPr>
          <w:rFonts w:cstheme="majorHAnsi"/>
        </w:rPr>
        <w:t xml:space="preserve">The </w:t>
      </w:r>
      <w:hyperlink r:id="rId19" w:history="1">
        <w:r w:rsidRPr="00BD102D">
          <w:rPr>
            <w:rStyle w:val="Hyperlink"/>
            <w:rFonts w:cstheme="majorHAnsi"/>
          </w:rPr>
          <w:t>Mediator Standards Board</w:t>
        </w:r>
      </w:hyperlink>
      <w:r w:rsidRPr="00BD102D">
        <w:rPr>
          <w:rFonts w:cstheme="majorHAnsi"/>
        </w:rPr>
        <w:t xml:space="preserve"> contains a register of Nationally Accredited Mediators and more information on accreditation bodies</w:t>
      </w:r>
      <w:r w:rsidR="00140039">
        <w:rPr>
          <w:rFonts w:cstheme="majorHAnsi"/>
        </w:rPr>
        <w:t>.</w:t>
      </w:r>
    </w:p>
    <w:p w14:paraId="19D243F8" w14:textId="43CF2279" w:rsidR="004F35CD" w:rsidRPr="004F35CD" w:rsidRDefault="004F35CD" w:rsidP="00660D7C">
      <w:pPr>
        <w:pStyle w:val="Heading1"/>
      </w:pPr>
      <w:r>
        <w:t xml:space="preserve">6. </w:t>
      </w:r>
      <w:r w:rsidRPr="004F35CD">
        <w:t xml:space="preserve">Negotiations should </w:t>
      </w:r>
      <w:r w:rsidR="00B73CC9">
        <w:t>ensure</w:t>
      </w:r>
      <w:r w:rsidR="00B73CC9" w:rsidRPr="004F35CD">
        <w:t xml:space="preserve"> </w:t>
      </w:r>
      <w:r w:rsidR="002F3B8B">
        <w:t xml:space="preserve">so far as possible </w:t>
      </w:r>
      <w:r w:rsidRPr="004F35CD">
        <w:t>the wellbeing and safety of the person who made the allegation, and be trauma-informed, culturally sensitive and intersectional</w:t>
      </w:r>
    </w:p>
    <w:p w14:paraId="21A60C2C" w14:textId="250400C0" w:rsidR="00C6341C" w:rsidRDefault="003944D1" w:rsidP="00415B69">
      <w:r>
        <w:t>All persons involved in settlement negotiations should be treated fairly and equally</w:t>
      </w:r>
      <w:r w:rsidR="00631314">
        <w:t xml:space="preserve">. </w:t>
      </w:r>
      <w:r w:rsidR="00044439">
        <w:t>C</w:t>
      </w:r>
      <w:r w:rsidR="00415B69" w:rsidRPr="00D314CD">
        <w:t>are</w:t>
      </w:r>
      <w:r w:rsidR="00044439">
        <w:t xml:space="preserve"> should be taken to ensure</w:t>
      </w:r>
      <w:r w:rsidR="00415B69" w:rsidRPr="00D314CD">
        <w:t xml:space="preserve"> </w:t>
      </w:r>
      <w:r w:rsidR="002F3B8B">
        <w:t xml:space="preserve">so far as possible </w:t>
      </w:r>
      <w:r w:rsidR="00415B69" w:rsidRPr="00D314CD">
        <w:t xml:space="preserve">the wellbeing and safety of the person who made the allegation. </w:t>
      </w:r>
    </w:p>
    <w:p w14:paraId="089516D6" w14:textId="5F776F8D" w:rsidR="00415B69" w:rsidRPr="00501A45" w:rsidRDefault="00E80A96" w:rsidP="00415B69">
      <w:pPr>
        <w:rPr>
          <w:rStyle w:val="SubtleEmphasis"/>
          <w:i w:val="0"/>
        </w:rPr>
      </w:pPr>
      <w:r>
        <w:t>It is important to consider that</w:t>
      </w:r>
      <w:r w:rsidR="00C6341C">
        <w:t xml:space="preserve"> p</w:t>
      </w:r>
      <w:r w:rsidR="00415B69" w:rsidRPr="00D314CD">
        <w:t>eople who have experienced sexual harassment may have experienced trauma. Talking about the allegation, including when discussing confidentiality, can re-open trauma or make it worse.</w:t>
      </w:r>
      <w:r w:rsidR="00415B69" w:rsidRPr="00501A45">
        <w:rPr>
          <w:rStyle w:val="SubtleEmphasis"/>
          <w:i w:val="0"/>
        </w:rPr>
        <w:t xml:space="preserve"> </w:t>
      </w:r>
    </w:p>
    <w:p w14:paraId="21C56192" w14:textId="3E19E04A" w:rsidR="00E34902" w:rsidRPr="00501A45" w:rsidRDefault="00E34902" w:rsidP="005A4B37">
      <w:pPr>
        <w:pStyle w:val="Heading2"/>
      </w:pPr>
      <w:r w:rsidRPr="00501A45">
        <w:t>Trauma-informed practice</w:t>
      </w:r>
    </w:p>
    <w:p w14:paraId="377B6C10" w14:textId="259D9374" w:rsidR="00E34902" w:rsidRPr="00501A45" w:rsidRDefault="00E34902" w:rsidP="00BD102D">
      <w:pPr>
        <w:rPr>
          <w:rFonts w:cstheme="majorHAnsi"/>
        </w:rPr>
      </w:pPr>
      <w:r w:rsidRPr="00501A45">
        <w:rPr>
          <w:rFonts w:ascii="Calibri Light" w:hAnsi="Calibri Light" w:cs="Calibri Light"/>
        </w:rPr>
        <w:t xml:space="preserve">Everyone involved in the settlement process should be trained to recognise that an experience, or experiences, of sexual harassment can be traumatic, and aim to prevent any re-traumatisation. </w:t>
      </w:r>
      <w:r w:rsidRPr="00501A45">
        <w:rPr>
          <w:rFonts w:cstheme="majorHAnsi"/>
        </w:rPr>
        <w:t xml:space="preserve">Discussions about the use of confidentiality clauses should </w:t>
      </w:r>
      <w:r w:rsidR="00997ADF">
        <w:rPr>
          <w:rFonts w:cstheme="majorHAnsi"/>
        </w:rPr>
        <w:t>ensure</w:t>
      </w:r>
      <w:r w:rsidR="00997ADF" w:rsidRPr="00501A45">
        <w:rPr>
          <w:rFonts w:cstheme="majorHAnsi"/>
        </w:rPr>
        <w:t xml:space="preserve"> </w:t>
      </w:r>
      <w:r w:rsidR="002F3B8B">
        <w:t xml:space="preserve">so far as possible </w:t>
      </w:r>
      <w:r w:rsidRPr="00501A45">
        <w:rPr>
          <w:rFonts w:cstheme="majorHAnsi"/>
        </w:rPr>
        <w:t xml:space="preserve">the wellbeing and safety of </w:t>
      </w:r>
      <w:r w:rsidR="00997ADF">
        <w:rPr>
          <w:rFonts w:cstheme="majorHAnsi"/>
        </w:rPr>
        <w:t>all</w:t>
      </w:r>
      <w:r w:rsidR="00997ADF" w:rsidRPr="00501A45">
        <w:rPr>
          <w:rFonts w:cstheme="majorHAnsi"/>
        </w:rPr>
        <w:t xml:space="preserve"> </w:t>
      </w:r>
      <w:r w:rsidRPr="00501A45">
        <w:rPr>
          <w:rFonts w:cstheme="majorHAnsi"/>
        </w:rPr>
        <w:t>persons involved, including the person who made the allegation. This can be done by taking a trauma-informed approach, which is based around the following five principles:</w:t>
      </w:r>
    </w:p>
    <w:p w14:paraId="14ED749C" w14:textId="77777777" w:rsidR="00E34902" w:rsidRPr="00501A45" w:rsidRDefault="00E34902" w:rsidP="00F3106B">
      <w:pPr>
        <w:pStyle w:val="ListParagraph"/>
        <w:numPr>
          <w:ilvl w:val="0"/>
          <w:numId w:val="5"/>
        </w:numPr>
        <w:spacing w:after="200" w:line="276" w:lineRule="auto"/>
        <w:ind w:left="426" w:right="56"/>
        <w:rPr>
          <w:rFonts w:ascii="Calibri Light" w:hAnsi="Calibri Light" w:cs="Calibri Light"/>
        </w:rPr>
      </w:pPr>
      <w:r w:rsidRPr="00501A45">
        <w:rPr>
          <w:b/>
        </w:rPr>
        <w:t>Safety</w:t>
      </w:r>
      <w:r w:rsidRPr="00501A45">
        <w:rPr>
          <w:rFonts w:ascii="Calibri Light" w:hAnsi="Calibri Light" w:cs="Calibri Light"/>
        </w:rPr>
        <w:t>: ensuring physical and psychological safety</w:t>
      </w:r>
    </w:p>
    <w:p w14:paraId="749F537E" w14:textId="77777777" w:rsidR="00E34902" w:rsidRPr="00501A45" w:rsidRDefault="00E34902" w:rsidP="00F3106B">
      <w:pPr>
        <w:pStyle w:val="ListParagraph"/>
        <w:numPr>
          <w:ilvl w:val="0"/>
          <w:numId w:val="5"/>
        </w:numPr>
        <w:spacing w:after="200" w:line="276" w:lineRule="auto"/>
        <w:ind w:left="426" w:right="56"/>
        <w:rPr>
          <w:rFonts w:ascii="Calibri Light" w:hAnsi="Calibri Light" w:cs="Calibri Light"/>
        </w:rPr>
      </w:pPr>
      <w:r w:rsidRPr="00501A45">
        <w:rPr>
          <w:b/>
        </w:rPr>
        <w:t>Trustworthiness</w:t>
      </w:r>
      <w:r w:rsidRPr="00501A45">
        <w:rPr>
          <w:rFonts w:ascii="Calibri Light" w:hAnsi="Calibri Light" w:cs="Calibri Light"/>
        </w:rPr>
        <w:t>: building trust with the person who has experienced trauma</w:t>
      </w:r>
    </w:p>
    <w:p w14:paraId="1F530C46" w14:textId="77777777" w:rsidR="00E34902" w:rsidRPr="00501A45" w:rsidRDefault="00E34902" w:rsidP="00F3106B">
      <w:pPr>
        <w:pStyle w:val="ListParagraph"/>
        <w:numPr>
          <w:ilvl w:val="0"/>
          <w:numId w:val="5"/>
        </w:numPr>
        <w:spacing w:after="200" w:line="276" w:lineRule="auto"/>
        <w:ind w:left="426" w:right="56"/>
        <w:rPr>
          <w:rFonts w:ascii="Calibri Light" w:hAnsi="Calibri Light" w:cs="Calibri Light"/>
        </w:rPr>
      </w:pPr>
      <w:r w:rsidRPr="00501A45">
        <w:rPr>
          <w:b/>
        </w:rPr>
        <w:t>Choice</w:t>
      </w:r>
      <w:r w:rsidRPr="00501A45">
        <w:rPr>
          <w:rFonts w:ascii="Calibri Light" w:hAnsi="Calibri Light" w:cs="Calibri Light"/>
        </w:rPr>
        <w:t>: increasing their options and choices in a conversation</w:t>
      </w:r>
    </w:p>
    <w:p w14:paraId="500AAAE0" w14:textId="77777777" w:rsidR="00E34902" w:rsidRPr="00501A45" w:rsidRDefault="00E34902" w:rsidP="00F3106B">
      <w:pPr>
        <w:pStyle w:val="ListParagraph"/>
        <w:numPr>
          <w:ilvl w:val="0"/>
          <w:numId w:val="5"/>
        </w:numPr>
        <w:spacing w:after="200" w:line="276" w:lineRule="auto"/>
        <w:ind w:left="426" w:right="56"/>
        <w:rPr>
          <w:rFonts w:ascii="Calibri Light" w:hAnsi="Calibri Light" w:cs="Calibri Light"/>
        </w:rPr>
      </w:pPr>
      <w:r w:rsidRPr="00501A45">
        <w:rPr>
          <w:b/>
        </w:rPr>
        <w:t>Collaboration</w:t>
      </w:r>
      <w:r w:rsidRPr="00501A45">
        <w:rPr>
          <w:rFonts w:ascii="Calibri Light" w:hAnsi="Calibri Light" w:cs="Calibri Light"/>
        </w:rPr>
        <w:t xml:space="preserve">: cooperating in conversation with the person who made the allegation </w:t>
      </w:r>
    </w:p>
    <w:p w14:paraId="444A3E39" w14:textId="77777777" w:rsidR="00E34902" w:rsidRPr="00501A45" w:rsidRDefault="00E34902" w:rsidP="00F3106B">
      <w:pPr>
        <w:pStyle w:val="ListParagraph"/>
        <w:numPr>
          <w:ilvl w:val="0"/>
          <w:numId w:val="5"/>
        </w:numPr>
        <w:spacing w:after="200" w:line="276" w:lineRule="auto"/>
        <w:ind w:left="426" w:right="56"/>
      </w:pPr>
      <w:r w:rsidRPr="00501A45">
        <w:rPr>
          <w:b/>
        </w:rPr>
        <w:t xml:space="preserve">Empowerment: </w:t>
      </w:r>
      <w:r w:rsidRPr="00501A45">
        <w:t>maximising empowerment in conversations with the person.</w:t>
      </w:r>
    </w:p>
    <w:p w14:paraId="303A6A60" w14:textId="77777777" w:rsidR="004E3B94" w:rsidRDefault="004E3B94" w:rsidP="00E34902">
      <w:pPr>
        <w:pStyle w:val="ListParagraph"/>
        <w:ind w:left="0" w:right="56"/>
        <w:rPr>
          <w:rFonts w:ascii="Calibri Light" w:hAnsi="Calibri Light" w:cs="Calibri Light"/>
        </w:rPr>
      </w:pPr>
    </w:p>
    <w:p w14:paraId="6F41EB4B" w14:textId="7719B4CF" w:rsidR="00E34902" w:rsidRPr="00501A45" w:rsidRDefault="00E34902" w:rsidP="00D314CD">
      <w:pPr>
        <w:pStyle w:val="ListParagraph"/>
        <w:keepNext/>
        <w:ind w:left="0" w:right="57"/>
        <w:rPr>
          <w:rFonts w:ascii="Calibri Light" w:hAnsi="Calibri Light" w:cs="Calibri Light"/>
        </w:rPr>
      </w:pPr>
      <w:r w:rsidRPr="00501A45">
        <w:rPr>
          <w:rFonts w:ascii="Calibri Light" w:hAnsi="Calibri Light" w:cs="Calibri Light"/>
        </w:rPr>
        <w:t>Taking a trauma-informed approach may include taking steps such as:</w:t>
      </w:r>
    </w:p>
    <w:p w14:paraId="101378C6" w14:textId="65DC704B" w:rsidR="00D314CD" w:rsidRPr="004E3B94" w:rsidRDefault="00D314CD" w:rsidP="00F3106B">
      <w:pPr>
        <w:pStyle w:val="ListParagraph"/>
        <w:numPr>
          <w:ilvl w:val="0"/>
          <w:numId w:val="14"/>
        </w:numPr>
        <w:ind w:right="56"/>
        <w:rPr>
          <w:rFonts w:cstheme="majorBidi"/>
        </w:rPr>
      </w:pPr>
      <w:r w:rsidRPr="004E3B94">
        <w:rPr>
          <w:rFonts w:cstheme="majorBidi"/>
        </w:rPr>
        <w:t>ensur</w:t>
      </w:r>
      <w:r>
        <w:rPr>
          <w:rFonts w:cstheme="majorBidi"/>
        </w:rPr>
        <w:t>ing</w:t>
      </w:r>
      <w:r w:rsidRPr="004E3B94">
        <w:rPr>
          <w:rFonts w:cstheme="majorBidi"/>
        </w:rPr>
        <w:t xml:space="preserve"> the person who made the allegation’s safety and wellbeing in discussions, and consider</w:t>
      </w:r>
      <w:r>
        <w:rPr>
          <w:rFonts w:cstheme="majorBidi"/>
        </w:rPr>
        <w:t>ing</w:t>
      </w:r>
      <w:r w:rsidRPr="004E3B94">
        <w:rPr>
          <w:rFonts w:cstheme="majorBidi"/>
        </w:rPr>
        <w:t xml:space="preserve"> the specific needs of all parties during discussions;</w:t>
      </w:r>
    </w:p>
    <w:p w14:paraId="34B8199E" w14:textId="77777777" w:rsidR="004E3B94" w:rsidRPr="00501A45" w:rsidRDefault="004E3B94" w:rsidP="00F3106B">
      <w:pPr>
        <w:pStyle w:val="ListParagraph"/>
        <w:keepNext/>
        <w:numPr>
          <w:ilvl w:val="0"/>
          <w:numId w:val="14"/>
        </w:numPr>
        <w:ind w:right="57"/>
        <w:rPr>
          <w:rFonts w:ascii="Calibri Light" w:hAnsi="Calibri Light" w:cs="Calibri Light"/>
        </w:rPr>
      </w:pPr>
      <w:r w:rsidRPr="00501A45">
        <w:rPr>
          <w:rFonts w:ascii="Calibri Light" w:hAnsi="Calibri Light" w:cs="Calibri Light"/>
        </w:rPr>
        <w:lastRenderedPageBreak/>
        <w:t>not requiring the person who made the allegation to re-tell their story on multiple occasions;</w:t>
      </w:r>
    </w:p>
    <w:p w14:paraId="6CB80505" w14:textId="77777777" w:rsidR="00D314CD" w:rsidRPr="00501A45" w:rsidRDefault="00D314CD" w:rsidP="00F3106B">
      <w:pPr>
        <w:pStyle w:val="ListParagraph"/>
        <w:numPr>
          <w:ilvl w:val="0"/>
          <w:numId w:val="14"/>
        </w:numPr>
        <w:ind w:right="56"/>
        <w:rPr>
          <w:rFonts w:ascii="Calibri Light" w:hAnsi="Calibri Light" w:cs="Calibri Light"/>
        </w:rPr>
      </w:pPr>
      <w:r w:rsidRPr="00501A45">
        <w:rPr>
          <w:rFonts w:ascii="Calibri Light" w:hAnsi="Calibri Light" w:cs="Calibri Light"/>
        </w:rPr>
        <w:t>offering support or referring the person who made the allegation to support services including access to an independent trauma expert or counsellor, union or legal representative, and permitting them to discuss the negotiation with those supporting them during the process;</w:t>
      </w:r>
    </w:p>
    <w:p w14:paraId="1DF284ED" w14:textId="7F13DA24" w:rsidR="00D314CD" w:rsidRDefault="004E3B94" w:rsidP="00F3106B">
      <w:pPr>
        <w:pStyle w:val="ListParagraph"/>
        <w:keepNext/>
        <w:numPr>
          <w:ilvl w:val="0"/>
          <w:numId w:val="14"/>
        </w:numPr>
        <w:ind w:right="57"/>
        <w:rPr>
          <w:rFonts w:cstheme="majorBidi"/>
        </w:rPr>
      </w:pPr>
      <w:r w:rsidRPr="004E3B94">
        <w:rPr>
          <w:rFonts w:cstheme="majorBidi"/>
        </w:rPr>
        <w:t>consider</w:t>
      </w:r>
      <w:r>
        <w:rPr>
          <w:rFonts w:cstheme="majorBidi"/>
        </w:rPr>
        <w:t>ing</w:t>
      </w:r>
      <w:r w:rsidRPr="004E3B94">
        <w:rPr>
          <w:rFonts w:cstheme="majorBidi"/>
        </w:rPr>
        <w:t xml:space="preserve"> whether discussions </w:t>
      </w:r>
      <w:r w:rsidR="00D314CD">
        <w:rPr>
          <w:rFonts w:cstheme="majorBidi"/>
        </w:rPr>
        <w:t xml:space="preserve">or negotiations </w:t>
      </w:r>
      <w:r w:rsidRPr="004E3B94">
        <w:rPr>
          <w:rFonts w:cstheme="majorBidi"/>
        </w:rPr>
        <w:t xml:space="preserve">should occur </w:t>
      </w:r>
      <w:r w:rsidR="009E050D">
        <w:rPr>
          <w:rFonts w:cstheme="majorBidi"/>
        </w:rPr>
        <w:t xml:space="preserve">at </w:t>
      </w:r>
      <w:r w:rsidRPr="004E3B94">
        <w:rPr>
          <w:rFonts w:cstheme="majorBidi"/>
        </w:rPr>
        <w:t>a neutral location to prevent possible re</w:t>
      </w:r>
      <w:r w:rsidR="007C5A00">
        <w:rPr>
          <w:rFonts w:cstheme="majorBidi"/>
        </w:rPr>
        <w:noBreakHyphen/>
      </w:r>
      <w:r w:rsidRPr="004E3B94">
        <w:rPr>
          <w:rFonts w:cstheme="majorBidi"/>
        </w:rPr>
        <w:t>traumatisation</w:t>
      </w:r>
      <w:r w:rsidR="00E65A38">
        <w:rPr>
          <w:rFonts w:cstheme="majorBidi"/>
        </w:rPr>
        <w:t>;</w:t>
      </w:r>
    </w:p>
    <w:p w14:paraId="2327C2AE" w14:textId="1E4E964D" w:rsidR="004E3B94" w:rsidRPr="004E3B94" w:rsidRDefault="00D314CD" w:rsidP="00F3106B">
      <w:pPr>
        <w:pStyle w:val="ListParagraph"/>
        <w:keepNext/>
        <w:numPr>
          <w:ilvl w:val="0"/>
          <w:numId w:val="14"/>
        </w:numPr>
        <w:ind w:right="57"/>
        <w:rPr>
          <w:rFonts w:cstheme="majorBidi"/>
        </w:rPr>
      </w:pPr>
      <w:r>
        <w:rPr>
          <w:rFonts w:cstheme="majorBidi"/>
        </w:rPr>
        <w:t xml:space="preserve">considering whether </w:t>
      </w:r>
      <w:r w:rsidR="004E3B94" w:rsidRPr="004E3B94">
        <w:rPr>
          <w:rFonts w:cstheme="majorBidi"/>
        </w:rPr>
        <w:t xml:space="preserve">parties should be in separate rooms </w:t>
      </w:r>
      <w:r>
        <w:rPr>
          <w:rFonts w:cstheme="majorBidi"/>
        </w:rPr>
        <w:t>during</w:t>
      </w:r>
      <w:r w:rsidRPr="004E3B94">
        <w:rPr>
          <w:rFonts w:cstheme="majorBidi"/>
        </w:rPr>
        <w:t xml:space="preserve"> discussions </w:t>
      </w:r>
      <w:r>
        <w:rPr>
          <w:rFonts w:cstheme="majorBidi"/>
        </w:rPr>
        <w:t>or negotiations</w:t>
      </w:r>
      <w:r w:rsidR="004E3B94" w:rsidRPr="004E3B94">
        <w:rPr>
          <w:rFonts w:cstheme="majorBidi"/>
        </w:rPr>
        <w:t>;</w:t>
      </w:r>
    </w:p>
    <w:p w14:paraId="70B87C11" w14:textId="24456E1F" w:rsidR="004E3B94" w:rsidRPr="004E3B94" w:rsidRDefault="004E3B94" w:rsidP="00F3106B">
      <w:pPr>
        <w:pStyle w:val="ListParagraph"/>
        <w:numPr>
          <w:ilvl w:val="0"/>
          <w:numId w:val="14"/>
        </w:numPr>
        <w:ind w:right="56"/>
        <w:rPr>
          <w:rFonts w:cstheme="majorBidi"/>
        </w:rPr>
      </w:pPr>
      <w:r w:rsidRPr="004E3B94">
        <w:rPr>
          <w:rFonts w:cstheme="majorBidi"/>
        </w:rPr>
        <w:t>includ</w:t>
      </w:r>
      <w:r>
        <w:rPr>
          <w:rFonts w:cstheme="majorBidi"/>
        </w:rPr>
        <w:t>ing</w:t>
      </w:r>
      <w:r w:rsidRPr="004E3B94">
        <w:rPr>
          <w:rFonts w:cstheme="majorBidi"/>
        </w:rPr>
        <w:t xml:space="preserve"> a support person</w:t>
      </w:r>
      <w:r w:rsidR="003A6931">
        <w:rPr>
          <w:rFonts w:cstheme="majorBidi"/>
        </w:rPr>
        <w:t xml:space="preserve">, including interpreters </w:t>
      </w:r>
      <w:r w:rsidR="009F08C4">
        <w:rPr>
          <w:rFonts w:cstheme="majorBidi"/>
        </w:rPr>
        <w:t xml:space="preserve">or translators </w:t>
      </w:r>
      <w:r w:rsidR="003A6931">
        <w:rPr>
          <w:rFonts w:cstheme="majorBidi"/>
        </w:rPr>
        <w:t xml:space="preserve">where necessary, </w:t>
      </w:r>
      <w:r w:rsidRPr="004E3B94">
        <w:rPr>
          <w:rFonts w:cstheme="majorBidi"/>
        </w:rPr>
        <w:t>for the person who made the allegation;</w:t>
      </w:r>
      <w:r w:rsidR="00E65A38">
        <w:rPr>
          <w:rFonts w:cstheme="majorBidi"/>
        </w:rPr>
        <w:t xml:space="preserve"> or</w:t>
      </w:r>
    </w:p>
    <w:p w14:paraId="6996F1CF" w14:textId="20232453" w:rsidR="004E3B94" w:rsidRPr="00501A45" w:rsidRDefault="004E3B94" w:rsidP="00F3106B">
      <w:pPr>
        <w:pStyle w:val="ListParagraph"/>
        <w:numPr>
          <w:ilvl w:val="0"/>
          <w:numId w:val="14"/>
        </w:numPr>
        <w:ind w:right="56"/>
        <w:rPr>
          <w:rFonts w:ascii="Calibri Light" w:hAnsi="Calibri Light" w:cs="Calibri Light"/>
        </w:rPr>
      </w:pPr>
      <w:r w:rsidRPr="00501A45">
        <w:rPr>
          <w:rFonts w:ascii="Calibri Light" w:hAnsi="Calibri Light" w:cs="Calibri Light"/>
        </w:rPr>
        <w:t>offering to take breaks when someone is showing signs of stress</w:t>
      </w:r>
      <w:r w:rsidR="00D314CD">
        <w:rPr>
          <w:rFonts w:ascii="Calibri Light" w:hAnsi="Calibri Light" w:cs="Calibri Light"/>
        </w:rPr>
        <w:t>.</w:t>
      </w:r>
    </w:p>
    <w:p w14:paraId="7C5833BC" w14:textId="3ED29799" w:rsidR="00640478" w:rsidRPr="00501A45" w:rsidRDefault="00640478" w:rsidP="005A4B37">
      <w:pPr>
        <w:pStyle w:val="Heading2"/>
      </w:pPr>
      <w:r w:rsidRPr="00501A45">
        <w:t xml:space="preserve">Consider whether groups may need additional supports </w:t>
      </w:r>
    </w:p>
    <w:p w14:paraId="2192CBBE" w14:textId="2B2E28A1" w:rsidR="00640478" w:rsidRPr="00501A45" w:rsidRDefault="00640478" w:rsidP="001328AC">
      <w:pPr>
        <w:spacing w:after="200" w:line="276" w:lineRule="auto"/>
        <w:ind w:right="56"/>
        <w:rPr>
          <w:rFonts w:ascii="Calibri Light" w:hAnsi="Calibri Light" w:cs="Calibri Light"/>
        </w:rPr>
      </w:pPr>
      <w:r w:rsidRPr="00501A45">
        <w:rPr>
          <w:rFonts w:cstheme="majorHAnsi"/>
        </w:rPr>
        <w:t xml:space="preserve">All persons involved in the process should be treated fairly and with dignity and respect. Negotiations should be accessible and consider the particular needs and circumstances of the individuals involved. </w:t>
      </w:r>
      <w:r w:rsidRPr="00501A45">
        <w:rPr>
          <w:rFonts w:ascii="Calibri Light" w:hAnsi="Calibri Light" w:cs="Calibri Light"/>
        </w:rPr>
        <w:t xml:space="preserve">Groups who may require specific supports may include: </w:t>
      </w:r>
    </w:p>
    <w:p w14:paraId="0D32A615" w14:textId="77777777" w:rsidR="005A4B37" w:rsidRDefault="005A4B37" w:rsidP="00F3106B">
      <w:pPr>
        <w:pStyle w:val="ListParagraph"/>
        <w:numPr>
          <w:ilvl w:val="0"/>
          <w:numId w:val="6"/>
        </w:numPr>
        <w:spacing w:after="200" w:line="276" w:lineRule="auto"/>
        <w:ind w:left="426" w:right="56"/>
        <w:rPr>
          <w:rFonts w:ascii="Calibri Light" w:hAnsi="Calibri Light" w:cs="Calibri Light"/>
        </w:rPr>
        <w:sectPr w:rsidR="005A4B37" w:rsidSect="00C76413">
          <w:footerReference w:type="default" r:id="rId20"/>
          <w:pgSz w:w="11907" w:h="16839" w:code="9"/>
          <w:pgMar w:top="993" w:right="708" w:bottom="964" w:left="1134" w:header="142" w:footer="163" w:gutter="0"/>
          <w:pgNumType w:start="0"/>
          <w:cols w:space="708"/>
          <w:titlePg/>
          <w:docGrid w:linePitch="360"/>
        </w:sectPr>
      </w:pPr>
    </w:p>
    <w:p w14:paraId="179EF9D0" w14:textId="72ADB62C" w:rsidR="00640478" w:rsidRPr="00501A45" w:rsidRDefault="00640478" w:rsidP="00F3106B">
      <w:pPr>
        <w:pStyle w:val="ListParagraph"/>
        <w:numPr>
          <w:ilvl w:val="0"/>
          <w:numId w:val="6"/>
        </w:numPr>
        <w:spacing w:after="200" w:line="276" w:lineRule="auto"/>
        <w:ind w:left="426" w:right="56"/>
        <w:rPr>
          <w:rFonts w:ascii="Calibri Light" w:hAnsi="Calibri Light" w:cs="Calibri Light"/>
        </w:rPr>
      </w:pPr>
      <w:r w:rsidRPr="00501A45">
        <w:rPr>
          <w:rFonts w:ascii="Calibri Light" w:hAnsi="Calibri Light" w:cs="Calibri Light"/>
        </w:rPr>
        <w:t>First Nations Peoples</w:t>
      </w:r>
    </w:p>
    <w:p w14:paraId="48E26678" w14:textId="77777777" w:rsidR="00640478" w:rsidRPr="00501A45" w:rsidRDefault="00640478" w:rsidP="00F3106B">
      <w:pPr>
        <w:pStyle w:val="ListParagraph"/>
        <w:numPr>
          <w:ilvl w:val="0"/>
          <w:numId w:val="6"/>
        </w:numPr>
        <w:spacing w:after="200" w:line="276" w:lineRule="auto"/>
        <w:ind w:left="426" w:right="56"/>
        <w:rPr>
          <w:rFonts w:ascii="Calibri Light" w:hAnsi="Calibri Light" w:cs="Calibri Light"/>
        </w:rPr>
      </w:pPr>
      <w:r w:rsidRPr="00501A45">
        <w:rPr>
          <w:rFonts w:ascii="Calibri Light" w:hAnsi="Calibri Light" w:cs="Calibri Light"/>
        </w:rPr>
        <w:t>Culturally and Linguistically Diverse (CALD) people</w:t>
      </w:r>
    </w:p>
    <w:p w14:paraId="3081F57E" w14:textId="77777777" w:rsidR="00640478" w:rsidRPr="00501A45" w:rsidRDefault="00640478" w:rsidP="00F3106B">
      <w:pPr>
        <w:pStyle w:val="ListParagraph"/>
        <w:numPr>
          <w:ilvl w:val="0"/>
          <w:numId w:val="6"/>
        </w:numPr>
        <w:spacing w:after="200" w:line="276" w:lineRule="auto"/>
        <w:ind w:left="426" w:right="56"/>
        <w:rPr>
          <w:rFonts w:ascii="Calibri Light" w:hAnsi="Calibri Light" w:cs="Calibri Light"/>
        </w:rPr>
      </w:pPr>
      <w:r w:rsidRPr="00501A45">
        <w:rPr>
          <w:rFonts w:ascii="Calibri Light" w:hAnsi="Calibri Light" w:cs="Calibri Light"/>
        </w:rPr>
        <w:t>people with disability</w:t>
      </w:r>
    </w:p>
    <w:p w14:paraId="04B3ABD5" w14:textId="77777777" w:rsidR="00640478" w:rsidRPr="00501A45" w:rsidRDefault="00640478" w:rsidP="00F3106B">
      <w:pPr>
        <w:pStyle w:val="ListParagraph"/>
        <w:numPr>
          <w:ilvl w:val="0"/>
          <w:numId w:val="6"/>
        </w:numPr>
        <w:spacing w:after="200" w:line="276" w:lineRule="auto"/>
        <w:ind w:left="426" w:right="56"/>
        <w:rPr>
          <w:rFonts w:ascii="Calibri Light" w:hAnsi="Calibri Light" w:cs="Calibri Light"/>
        </w:rPr>
      </w:pPr>
      <w:r w:rsidRPr="00501A45">
        <w:rPr>
          <w:rFonts w:ascii="Calibri Light" w:hAnsi="Calibri Light" w:cs="Calibri Light"/>
        </w:rPr>
        <w:t>LGBTQIA+ people</w:t>
      </w:r>
    </w:p>
    <w:p w14:paraId="7BD3C1AC" w14:textId="77777777" w:rsidR="00640478" w:rsidRPr="00501A45" w:rsidRDefault="00640478" w:rsidP="00F3106B">
      <w:pPr>
        <w:pStyle w:val="ListParagraph"/>
        <w:numPr>
          <w:ilvl w:val="0"/>
          <w:numId w:val="6"/>
        </w:numPr>
        <w:spacing w:after="200" w:line="276" w:lineRule="auto"/>
        <w:ind w:left="426" w:right="56"/>
        <w:rPr>
          <w:rFonts w:ascii="Calibri Light" w:hAnsi="Calibri Light" w:cs="Calibri Light"/>
        </w:rPr>
      </w:pPr>
      <w:r w:rsidRPr="00501A45">
        <w:rPr>
          <w:rFonts w:ascii="Calibri Light" w:hAnsi="Calibri Light" w:cs="Calibri Light"/>
        </w:rPr>
        <w:t>older people</w:t>
      </w:r>
    </w:p>
    <w:p w14:paraId="05B9E5A4" w14:textId="77777777" w:rsidR="00640478" w:rsidRPr="00501A45" w:rsidRDefault="00640478" w:rsidP="00F3106B">
      <w:pPr>
        <w:pStyle w:val="ListParagraph"/>
        <w:numPr>
          <w:ilvl w:val="0"/>
          <w:numId w:val="6"/>
        </w:numPr>
        <w:spacing w:after="200" w:line="276" w:lineRule="auto"/>
        <w:ind w:left="426" w:right="56"/>
        <w:rPr>
          <w:rFonts w:ascii="Calibri Light" w:hAnsi="Calibri Light" w:cs="Calibri Light"/>
        </w:rPr>
      </w:pPr>
      <w:r w:rsidRPr="00501A45">
        <w:rPr>
          <w:rFonts w:ascii="Calibri Light" w:hAnsi="Calibri Light" w:cs="Calibri Light"/>
        </w:rPr>
        <w:t>young people.</w:t>
      </w:r>
    </w:p>
    <w:p w14:paraId="63D41A11" w14:textId="77777777" w:rsidR="005A4B37" w:rsidRDefault="005A4B37" w:rsidP="00640478">
      <w:pPr>
        <w:spacing w:after="200" w:line="276" w:lineRule="auto"/>
        <w:ind w:right="56"/>
        <w:rPr>
          <w:rFonts w:ascii="Calibri Light" w:hAnsi="Calibri Light" w:cs="Calibri Light"/>
        </w:rPr>
        <w:sectPr w:rsidR="005A4B37" w:rsidSect="005A4B37">
          <w:type w:val="continuous"/>
          <w:pgSz w:w="11907" w:h="16839" w:code="9"/>
          <w:pgMar w:top="993" w:right="708" w:bottom="964" w:left="1134" w:header="142" w:footer="163" w:gutter="0"/>
          <w:pgNumType w:start="0"/>
          <w:cols w:num="2" w:space="708"/>
          <w:titlePg/>
          <w:docGrid w:linePitch="360"/>
        </w:sectPr>
      </w:pPr>
    </w:p>
    <w:p w14:paraId="47AB6552" w14:textId="169E5329" w:rsidR="00640478" w:rsidRPr="00501A45" w:rsidRDefault="00BD102D" w:rsidP="00BD102D">
      <w:pPr>
        <w:spacing w:after="160"/>
        <w:rPr>
          <w:rFonts w:ascii="Calibri Light" w:hAnsi="Calibri Light" w:cs="Calibri Light"/>
        </w:rPr>
      </w:pPr>
      <w:r>
        <w:rPr>
          <w:rFonts w:ascii="Calibri Light" w:hAnsi="Calibri Light" w:cs="Calibri Light"/>
        </w:rPr>
        <w:br/>
      </w:r>
      <w:r w:rsidR="00640478" w:rsidRPr="00501A45">
        <w:rPr>
          <w:rFonts w:ascii="Calibri Light" w:hAnsi="Calibri Light" w:cs="Calibri Light"/>
        </w:rPr>
        <w:t>It</w:t>
      </w:r>
      <w:r w:rsidR="008825C1">
        <w:rPr>
          <w:rFonts w:ascii="Calibri Light" w:hAnsi="Calibri Light" w:cs="Calibri Light"/>
        </w:rPr>
        <w:t xml:space="preserve"> is</w:t>
      </w:r>
      <w:r w:rsidR="00640478" w:rsidRPr="00501A45">
        <w:rPr>
          <w:rFonts w:ascii="Calibri Light" w:hAnsi="Calibri Light" w:cs="Calibri Light"/>
        </w:rPr>
        <w:t xml:space="preserve"> also important to be mindful that </w:t>
      </w:r>
      <w:r w:rsidR="00E65A38">
        <w:rPr>
          <w:rFonts w:ascii="Calibri Light" w:hAnsi="Calibri Light" w:cs="Calibri Light"/>
        </w:rPr>
        <w:t xml:space="preserve">some </w:t>
      </w:r>
      <w:r w:rsidR="00640478" w:rsidRPr="00501A45">
        <w:rPr>
          <w:rFonts w:ascii="Calibri Light" w:hAnsi="Calibri Light" w:cs="Calibri Light"/>
        </w:rPr>
        <w:t>people may be in a vulnerable position or at higher risk of harm. Workers at higher risk of harm can include:</w:t>
      </w:r>
    </w:p>
    <w:p w14:paraId="6E59C1D1" w14:textId="77777777" w:rsidR="005A4B37" w:rsidRDefault="005A4B37" w:rsidP="00F3106B">
      <w:pPr>
        <w:pStyle w:val="ListParagraph"/>
        <w:numPr>
          <w:ilvl w:val="0"/>
          <w:numId w:val="7"/>
        </w:numPr>
        <w:spacing w:after="200" w:line="276" w:lineRule="auto"/>
        <w:ind w:left="426" w:right="56"/>
        <w:rPr>
          <w:rFonts w:ascii="Calibri Light" w:hAnsi="Calibri Light" w:cs="Calibri Light"/>
        </w:rPr>
        <w:sectPr w:rsidR="005A4B37" w:rsidSect="005A4B37">
          <w:type w:val="continuous"/>
          <w:pgSz w:w="11907" w:h="16839" w:code="9"/>
          <w:pgMar w:top="993" w:right="708" w:bottom="964" w:left="1134" w:header="142" w:footer="163" w:gutter="0"/>
          <w:pgNumType w:start="0"/>
          <w:cols w:space="708"/>
          <w:titlePg/>
          <w:docGrid w:linePitch="360"/>
        </w:sectPr>
      </w:pPr>
    </w:p>
    <w:p w14:paraId="155AE318" w14:textId="0E1247D0"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volunteers</w:t>
      </w:r>
    </w:p>
    <w:p w14:paraId="5AC6BD33"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workers who do not have English as their first language</w:t>
      </w:r>
    </w:p>
    <w:p w14:paraId="1555312F"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temporary visa holders</w:t>
      </w:r>
    </w:p>
    <w:p w14:paraId="004CA1E2"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those employed in insecure or precarious work, such as seasonal workers</w:t>
      </w:r>
    </w:p>
    <w:p w14:paraId="16EB0B5C"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casual workers</w:t>
      </w:r>
    </w:p>
    <w:p w14:paraId="521F7B00"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international students</w:t>
      </w:r>
    </w:p>
    <w:p w14:paraId="1CBE8826"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remote workers</w:t>
      </w:r>
    </w:p>
    <w:p w14:paraId="5479DAFE"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young or older workers</w:t>
      </w:r>
    </w:p>
    <w:p w14:paraId="61D31D29" w14:textId="77777777" w:rsidR="00640478" w:rsidRPr="00501A45" w:rsidRDefault="00640478" w:rsidP="00F3106B">
      <w:pPr>
        <w:pStyle w:val="ListParagraph"/>
        <w:numPr>
          <w:ilvl w:val="0"/>
          <w:numId w:val="7"/>
        </w:numPr>
        <w:spacing w:after="200" w:line="276" w:lineRule="auto"/>
        <w:ind w:left="426" w:right="56"/>
        <w:rPr>
          <w:rFonts w:ascii="Calibri Light" w:hAnsi="Calibri Light" w:cs="Calibri Light"/>
        </w:rPr>
      </w:pPr>
      <w:r w:rsidRPr="00501A45">
        <w:rPr>
          <w:rFonts w:ascii="Calibri Light" w:hAnsi="Calibri Light" w:cs="Calibri Light"/>
        </w:rPr>
        <w:t>people living with a disability or who have caring responsibilities.</w:t>
      </w:r>
    </w:p>
    <w:p w14:paraId="72C653E8" w14:textId="77777777" w:rsidR="005A4B37" w:rsidRDefault="005A4B37" w:rsidP="00640478">
      <w:pPr>
        <w:spacing w:after="200" w:line="276" w:lineRule="auto"/>
        <w:ind w:right="56"/>
        <w:rPr>
          <w:rFonts w:ascii="Calibri Light" w:hAnsi="Calibri Light" w:cs="Calibri Light"/>
          <w:b/>
          <w:i/>
        </w:rPr>
        <w:sectPr w:rsidR="005A4B37" w:rsidSect="005A4B37">
          <w:type w:val="continuous"/>
          <w:pgSz w:w="11907" w:h="16839" w:code="9"/>
          <w:pgMar w:top="993" w:right="708" w:bottom="964" w:left="1134" w:header="142" w:footer="163" w:gutter="0"/>
          <w:pgNumType w:start="0"/>
          <w:cols w:num="2" w:space="708"/>
          <w:titlePg/>
          <w:docGrid w:linePitch="360"/>
        </w:sectPr>
      </w:pPr>
    </w:p>
    <w:p w14:paraId="12D3D31E" w14:textId="16F52641" w:rsidR="00640478" w:rsidRPr="00501A45" w:rsidRDefault="00640478" w:rsidP="00640478">
      <w:pPr>
        <w:spacing w:after="200" w:line="276" w:lineRule="auto"/>
        <w:ind w:right="56"/>
        <w:rPr>
          <w:rFonts w:ascii="Calibri Light" w:hAnsi="Calibri Light" w:cs="Calibri Light"/>
          <w:b/>
          <w:i/>
        </w:rPr>
      </w:pPr>
      <w:r w:rsidRPr="00501A45">
        <w:rPr>
          <w:rFonts w:ascii="Calibri Light" w:hAnsi="Calibri Light" w:cs="Calibri Light"/>
          <w:b/>
          <w:i/>
        </w:rPr>
        <w:t>Some questions to consider:</w:t>
      </w:r>
    </w:p>
    <w:p w14:paraId="21B8B696" w14:textId="77777777" w:rsidR="00D314CD" w:rsidRPr="00501A45" w:rsidRDefault="00D314CD" w:rsidP="00F3106B">
      <w:pPr>
        <w:pStyle w:val="ListParagraph"/>
        <w:numPr>
          <w:ilvl w:val="0"/>
          <w:numId w:val="5"/>
        </w:numPr>
        <w:spacing w:after="200" w:line="276" w:lineRule="auto"/>
        <w:ind w:left="426" w:right="56"/>
        <w:rPr>
          <w:rFonts w:ascii="Calibri Light" w:hAnsi="Calibri Light" w:cs="Calibri Light"/>
        </w:rPr>
      </w:pPr>
      <w:r w:rsidRPr="00501A45">
        <w:rPr>
          <w:rFonts w:ascii="Calibri Light" w:hAnsi="Calibri Light" w:cs="Calibri Light"/>
        </w:rPr>
        <w:t>What do all parties need to be active, equal, and respected participants in the discussion?</w:t>
      </w:r>
    </w:p>
    <w:p w14:paraId="2BE68413" w14:textId="25F0CEF5" w:rsidR="0033577C" w:rsidRPr="00501A45" w:rsidRDefault="0033577C" w:rsidP="00F3106B">
      <w:pPr>
        <w:pStyle w:val="ListParagraph"/>
        <w:numPr>
          <w:ilvl w:val="0"/>
          <w:numId w:val="5"/>
        </w:numPr>
        <w:spacing w:after="200" w:line="276" w:lineRule="auto"/>
        <w:ind w:left="426" w:right="56"/>
        <w:rPr>
          <w:rFonts w:ascii="Calibri Light" w:hAnsi="Calibri Light" w:cs="Calibri Light"/>
        </w:rPr>
      </w:pPr>
      <w:r w:rsidRPr="00501A45">
        <w:rPr>
          <w:rFonts w:ascii="Calibri Light" w:hAnsi="Calibri Light" w:cs="Calibri Light"/>
        </w:rPr>
        <w:t xml:space="preserve">Does everyone involved in the negotiations have access to </w:t>
      </w:r>
      <w:r w:rsidR="00E80A96">
        <w:rPr>
          <w:rFonts w:ascii="Calibri Light" w:hAnsi="Calibri Light" w:cs="Calibri Light"/>
        </w:rPr>
        <w:t xml:space="preserve">relevant </w:t>
      </w:r>
      <w:r w:rsidRPr="00501A45">
        <w:rPr>
          <w:rFonts w:ascii="Calibri Light" w:hAnsi="Calibri Light" w:cs="Calibri Light"/>
        </w:rPr>
        <w:t>support or representation?</w:t>
      </w:r>
    </w:p>
    <w:p w14:paraId="45659DC0" w14:textId="77777777" w:rsidR="0033577C" w:rsidRPr="00501A45" w:rsidRDefault="0033577C" w:rsidP="00F3106B">
      <w:pPr>
        <w:pStyle w:val="ListParagraph"/>
        <w:numPr>
          <w:ilvl w:val="0"/>
          <w:numId w:val="5"/>
        </w:numPr>
        <w:spacing w:after="200" w:line="276" w:lineRule="auto"/>
        <w:ind w:left="426" w:right="56"/>
        <w:rPr>
          <w:rFonts w:ascii="Calibri Light" w:hAnsi="Calibri Light" w:cs="Calibri Light"/>
        </w:rPr>
      </w:pPr>
      <w:r w:rsidRPr="00501A45">
        <w:rPr>
          <w:rFonts w:ascii="Calibri Light" w:hAnsi="Calibri Light" w:cs="Calibri Light"/>
        </w:rPr>
        <w:t>Is it appropriate to conduct the negotiations in, or away from, a particular place?</w:t>
      </w:r>
    </w:p>
    <w:p w14:paraId="6661A836" w14:textId="77777777" w:rsidR="0033577C" w:rsidRPr="00501A45" w:rsidRDefault="0033577C" w:rsidP="00F3106B">
      <w:pPr>
        <w:pStyle w:val="ListParagraph"/>
        <w:numPr>
          <w:ilvl w:val="0"/>
          <w:numId w:val="5"/>
        </w:numPr>
        <w:spacing w:after="200" w:line="276" w:lineRule="auto"/>
        <w:ind w:left="426" w:right="56"/>
        <w:rPr>
          <w:rFonts w:ascii="Calibri Light" w:hAnsi="Calibri Light" w:cs="Calibri Light"/>
        </w:rPr>
      </w:pPr>
      <w:r w:rsidRPr="00501A45">
        <w:rPr>
          <w:rFonts w:ascii="Calibri Light" w:hAnsi="Calibri Light" w:cs="Calibri Light"/>
        </w:rPr>
        <w:t>Do you know how to recognise the symptoms of a stress response, and what you can do to reduce distress?</w:t>
      </w:r>
    </w:p>
    <w:p w14:paraId="536E9F9A" w14:textId="29F7FB8B" w:rsidR="0033577C" w:rsidRPr="00415B69" w:rsidRDefault="0033577C" w:rsidP="00F3106B">
      <w:pPr>
        <w:pStyle w:val="ListParagraph"/>
        <w:numPr>
          <w:ilvl w:val="0"/>
          <w:numId w:val="5"/>
        </w:numPr>
        <w:spacing w:after="200" w:line="276" w:lineRule="auto"/>
        <w:ind w:left="426" w:right="56"/>
        <w:rPr>
          <w:rFonts w:ascii="Calibri Light" w:hAnsi="Calibri Light" w:cs="Calibri Light"/>
        </w:rPr>
      </w:pPr>
      <w:r w:rsidRPr="00501A45">
        <w:rPr>
          <w:rFonts w:ascii="Calibri Light" w:hAnsi="Calibri Light" w:cs="Calibri Light"/>
        </w:rPr>
        <w:t xml:space="preserve">Are there any factors that could affect the quality of agreement to a confidentiality clause, such as a lack of </w:t>
      </w:r>
      <w:r w:rsidR="00E80A96">
        <w:rPr>
          <w:rFonts w:ascii="Calibri Light" w:hAnsi="Calibri Light" w:cs="Calibri Light"/>
        </w:rPr>
        <w:t xml:space="preserve">specific supports or </w:t>
      </w:r>
      <w:r w:rsidRPr="00501A45">
        <w:rPr>
          <w:rFonts w:ascii="Calibri Light" w:hAnsi="Calibri Light" w:cs="Calibri Light"/>
        </w:rPr>
        <w:t>resources</w:t>
      </w:r>
      <w:r w:rsidR="00E80A96">
        <w:rPr>
          <w:rFonts w:ascii="Calibri Light" w:hAnsi="Calibri Light" w:cs="Calibri Light"/>
        </w:rPr>
        <w:t>?</w:t>
      </w:r>
      <w:r w:rsidRPr="00501A45">
        <w:rPr>
          <w:rFonts w:ascii="Calibri Light" w:hAnsi="Calibri Light" w:cs="Calibri Light"/>
        </w:rPr>
        <w:t xml:space="preserve"> If so, what are the factors and how can they be mitigated?</w:t>
      </w:r>
    </w:p>
    <w:p w14:paraId="42E75599" w14:textId="77777777" w:rsidR="00BD102D" w:rsidRDefault="00640478" w:rsidP="001D66FE">
      <w:pPr>
        <w:pStyle w:val="Heading3"/>
      </w:pPr>
      <w:r w:rsidRPr="00501A45">
        <w:t xml:space="preserve">Resources: </w:t>
      </w:r>
    </w:p>
    <w:p w14:paraId="0514FCF5" w14:textId="3A982ACA" w:rsidR="0033577C" w:rsidRDefault="00857BE6" w:rsidP="00F3106B">
      <w:pPr>
        <w:pStyle w:val="ListParagraph"/>
        <w:numPr>
          <w:ilvl w:val="0"/>
          <w:numId w:val="18"/>
        </w:numPr>
        <w:rPr>
          <w:rFonts w:cstheme="majorHAnsi"/>
        </w:rPr>
      </w:pPr>
      <w:hyperlink r:id="rId21" w:history="1">
        <w:r w:rsidR="0033577C" w:rsidRPr="00BD102D">
          <w:rPr>
            <w:rStyle w:val="Hyperlink"/>
            <w:rFonts w:cstheme="majorHAnsi"/>
          </w:rPr>
          <w:t>The Blue Knot Foundation</w:t>
        </w:r>
      </w:hyperlink>
      <w:r w:rsidR="0033577C" w:rsidRPr="00BD102D">
        <w:rPr>
          <w:rFonts w:cstheme="majorHAnsi"/>
        </w:rPr>
        <w:t xml:space="preserve"> offer resources and information on ways that you can learn how to apply trauma-informed principles.</w:t>
      </w:r>
    </w:p>
    <w:p w14:paraId="7AAE6ABC" w14:textId="2979CFDA" w:rsidR="00BD102D" w:rsidRDefault="00857BE6" w:rsidP="00F3106B">
      <w:pPr>
        <w:pStyle w:val="ListParagraph"/>
        <w:numPr>
          <w:ilvl w:val="0"/>
          <w:numId w:val="18"/>
        </w:numPr>
      </w:pPr>
      <w:hyperlink r:id="rId22" w:history="1">
        <w:r w:rsidR="00BD102D" w:rsidRPr="00BD102D">
          <w:rPr>
            <w:rStyle w:val="Hyperlink"/>
            <w:rFonts w:cstheme="majorHAnsi"/>
          </w:rPr>
          <w:t>The Centre for Cultural Competence</w:t>
        </w:r>
      </w:hyperlink>
      <w:r w:rsidR="00BD102D" w:rsidRPr="00501A45">
        <w:t xml:space="preserve"> provides information and services including training and support to develop culturally appropriate and trauma-informed policy, programs and service delivery</w:t>
      </w:r>
      <w:r w:rsidR="00BD102D">
        <w:t>.</w:t>
      </w:r>
    </w:p>
    <w:p w14:paraId="6B912CB2" w14:textId="796C5EE4" w:rsidR="00BD102D" w:rsidRPr="00BD102D" w:rsidRDefault="00BD102D" w:rsidP="00BD102D">
      <w:pPr>
        <w:spacing w:before="0" w:after="160"/>
      </w:pPr>
      <w:r>
        <w:br w:type="page"/>
      </w:r>
    </w:p>
    <w:p w14:paraId="1D9AECC1" w14:textId="77777777" w:rsidR="00BE2052" w:rsidRPr="00D314CD" w:rsidRDefault="00BE2052" w:rsidP="00660D7C">
      <w:pPr>
        <w:pStyle w:val="Heading1"/>
      </w:pPr>
      <w:bookmarkStart w:id="9" w:name="_Where_to_find"/>
      <w:bookmarkStart w:id="10" w:name="_Ref112585485"/>
      <w:bookmarkStart w:id="11" w:name="_Ref112948231"/>
      <w:bookmarkEnd w:id="9"/>
      <w:r w:rsidRPr="00D314CD">
        <w:lastRenderedPageBreak/>
        <w:t>Where to find help</w:t>
      </w:r>
      <w:bookmarkEnd w:id="10"/>
      <w:bookmarkEnd w:id="11"/>
    </w:p>
    <w:p w14:paraId="4BB84565" w14:textId="4CFBBDBD" w:rsidR="00266B96" w:rsidRDefault="00364208" w:rsidP="002A5B2A">
      <w:pPr>
        <w:ind w:left="66" w:right="56"/>
        <w:rPr>
          <w:rFonts w:cstheme="majorHAnsi"/>
          <w:b/>
          <w:i/>
          <w:iCs/>
        </w:rPr>
      </w:pPr>
      <w:r>
        <w:rPr>
          <w:rFonts w:cstheme="majorHAnsi"/>
          <w:b/>
          <w:i/>
          <w:iCs/>
        </w:rPr>
        <w:t>Where to seek help (sexual harassment and sexual assault support services, legal services, mental health services and advocacy support)</w:t>
      </w:r>
    </w:p>
    <w:p w14:paraId="1328250B" w14:textId="66DD6F7E" w:rsidR="00266B96" w:rsidRPr="00266B96" w:rsidRDefault="00857BE6" w:rsidP="00266B96">
      <w:pPr>
        <w:pStyle w:val="ListParagraph"/>
        <w:numPr>
          <w:ilvl w:val="0"/>
          <w:numId w:val="3"/>
        </w:numPr>
        <w:ind w:left="426" w:right="56"/>
        <w:rPr>
          <w:rFonts w:cstheme="majorHAnsi"/>
          <w:iCs/>
        </w:rPr>
      </w:pPr>
      <w:hyperlink r:id="rId23" w:history="1">
        <w:r w:rsidR="00925C37">
          <w:rPr>
            <w:rStyle w:val="Hyperlink"/>
            <w:rFonts w:cstheme="majorHAnsi"/>
            <w:iCs/>
          </w:rPr>
          <w:t>Respect@Work website</w:t>
        </w:r>
      </w:hyperlink>
      <w:r w:rsidR="00364208">
        <w:rPr>
          <w:rFonts w:cstheme="majorHAnsi"/>
          <w:iCs/>
        </w:rPr>
        <w:t xml:space="preserve"> </w:t>
      </w:r>
    </w:p>
    <w:p w14:paraId="5B797C7B" w14:textId="580B1F8C" w:rsidR="00BE2052" w:rsidRPr="002A5B2A" w:rsidRDefault="001158D0" w:rsidP="002A5B2A">
      <w:pPr>
        <w:ind w:left="66" w:right="56"/>
        <w:rPr>
          <w:rFonts w:cstheme="majorHAnsi"/>
          <w:b/>
          <w:i/>
          <w:iCs/>
        </w:rPr>
      </w:pPr>
      <w:r w:rsidRPr="002A5B2A">
        <w:rPr>
          <w:rFonts w:cstheme="majorHAnsi"/>
          <w:b/>
          <w:i/>
          <w:iCs/>
        </w:rPr>
        <w:t>Make a complaint in relation to workplace sexual harassment</w:t>
      </w:r>
    </w:p>
    <w:p w14:paraId="5EA968C0" w14:textId="09FCA670" w:rsidR="00BE2052" w:rsidRPr="002A5B2A" w:rsidRDefault="00857BE6" w:rsidP="00F3106B">
      <w:pPr>
        <w:pStyle w:val="ListParagraph"/>
        <w:numPr>
          <w:ilvl w:val="0"/>
          <w:numId w:val="3"/>
        </w:numPr>
        <w:ind w:left="426" w:right="56"/>
        <w:rPr>
          <w:rStyle w:val="Hyperlink"/>
          <w:rFonts w:cstheme="majorHAnsi"/>
        </w:rPr>
      </w:pPr>
      <w:hyperlink r:id="rId24" w:history="1">
        <w:r w:rsidR="00BE2052" w:rsidRPr="002A5B2A">
          <w:rPr>
            <w:rStyle w:val="Hyperlink"/>
            <w:rFonts w:cstheme="majorHAnsi"/>
          </w:rPr>
          <w:t xml:space="preserve">Australian Human Rights Commission – </w:t>
        </w:r>
        <w:r w:rsidR="00C76413" w:rsidRPr="002A5B2A">
          <w:rPr>
            <w:rStyle w:val="Hyperlink"/>
            <w:rFonts w:cstheme="majorHAnsi"/>
          </w:rPr>
          <w:t>disputes</w:t>
        </w:r>
        <w:r w:rsidR="00BE2052" w:rsidRPr="002A5B2A">
          <w:rPr>
            <w:rStyle w:val="Hyperlink"/>
            <w:rFonts w:cstheme="majorHAnsi"/>
          </w:rPr>
          <w:t xml:space="preserve"> under the Sex Discrimination Act</w:t>
        </w:r>
      </w:hyperlink>
    </w:p>
    <w:p w14:paraId="24248770" w14:textId="7756F090" w:rsidR="006B64E2" w:rsidRPr="002A5B2A" w:rsidRDefault="00857BE6" w:rsidP="00F3106B">
      <w:pPr>
        <w:pStyle w:val="ListParagraph"/>
        <w:numPr>
          <w:ilvl w:val="0"/>
          <w:numId w:val="3"/>
        </w:numPr>
        <w:ind w:left="426" w:right="56"/>
        <w:rPr>
          <w:rStyle w:val="Hyperlink"/>
          <w:rFonts w:cstheme="majorHAnsi"/>
          <w:color w:val="auto"/>
          <w:u w:val="none"/>
        </w:rPr>
      </w:pPr>
      <w:hyperlink r:id="rId25" w:history="1">
        <w:r w:rsidR="006B64E2" w:rsidRPr="002A5B2A">
          <w:rPr>
            <w:rStyle w:val="Hyperlink"/>
            <w:rFonts w:cstheme="majorHAnsi"/>
          </w:rPr>
          <w:t>Fair Work Commission</w:t>
        </w:r>
      </w:hyperlink>
      <w:r w:rsidR="006B64E2" w:rsidRPr="002A5B2A">
        <w:rPr>
          <w:rFonts w:cstheme="majorHAnsi"/>
        </w:rPr>
        <w:t xml:space="preserve"> </w:t>
      </w:r>
    </w:p>
    <w:p w14:paraId="286C8691" w14:textId="345698F4" w:rsidR="00BE2052" w:rsidRPr="002A5B2A" w:rsidRDefault="0036066E" w:rsidP="002A5B2A">
      <w:pPr>
        <w:ind w:left="66" w:right="56"/>
        <w:rPr>
          <w:rFonts w:cstheme="majorHAnsi"/>
          <w:b/>
          <w:i/>
          <w:iCs/>
        </w:rPr>
      </w:pPr>
      <w:bookmarkStart w:id="12" w:name="_Hlk117599395"/>
      <w:r>
        <w:rPr>
          <w:rFonts w:cstheme="majorHAnsi"/>
          <w:b/>
          <w:i/>
          <w:iCs/>
        </w:rPr>
        <w:t xml:space="preserve">Guide to external pathways to address sexual harassment (support services, anti-discrimination and human rights bodies, workplace relations bodies </w:t>
      </w:r>
      <w:r w:rsidR="00925C37">
        <w:rPr>
          <w:rFonts w:cstheme="majorHAnsi"/>
          <w:b/>
          <w:i/>
          <w:iCs/>
        </w:rPr>
        <w:t xml:space="preserve">and </w:t>
      </w:r>
      <w:r>
        <w:rPr>
          <w:rFonts w:cstheme="majorHAnsi"/>
          <w:b/>
          <w:i/>
          <w:iCs/>
        </w:rPr>
        <w:t>work</w:t>
      </w:r>
      <w:r w:rsidR="00925C37">
        <w:rPr>
          <w:rFonts w:cstheme="majorHAnsi"/>
          <w:b/>
          <w:i/>
          <w:iCs/>
        </w:rPr>
        <w:t xml:space="preserve"> </w:t>
      </w:r>
      <w:r>
        <w:rPr>
          <w:rFonts w:cstheme="majorHAnsi"/>
          <w:b/>
          <w:i/>
          <w:iCs/>
        </w:rPr>
        <w:t>health and safety regulators)</w:t>
      </w:r>
    </w:p>
    <w:bookmarkEnd w:id="12"/>
    <w:p w14:paraId="667328F6" w14:textId="3DBC949C" w:rsidR="00BE2052" w:rsidRPr="0036066E" w:rsidRDefault="0036066E">
      <w:pPr>
        <w:pStyle w:val="ListParagraph"/>
        <w:numPr>
          <w:ilvl w:val="0"/>
          <w:numId w:val="3"/>
        </w:numPr>
        <w:ind w:left="426" w:right="56"/>
        <w:rPr>
          <w:rStyle w:val="Hyperlink"/>
          <w:rFonts w:cstheme="majorHAnsi"/>
          <w:color w:val="auto"/>
          <w:u w:val="none"/>
        </w:rPr>
      </w:pPr>
      <w:r>
        <w:rPr>
          <w:rFonts w:cstheme="majorHAnsi"/>
        </w:rPr>
        <w:fldChar w:fldCharType="begin"/>
      </w:r>
      <w:r>
        <w:rPr>
          <w:rFonts w:cstheme="majorHAnsi"/>
        </w:rPr>
        <w:instrText xml:space="preserve"> HYPERLINK "https://www.respectatwork.gov.au/sites/default/files/2022-10/FINAL%20Guide%20to%20external%20pathways%20in%20Australia%20to%20address%20workplace%20sexual%20harassment%20.pdf" </w:instrText>
      </w:r>
      <w:r>
        <w:rPr>
          <w:rFonts w:cstheme="majorHAnsi"/>
        </w:rPr>
        <w:fldChar w:fldCharType="separate"/>
      </w:r>
      <w:r w:rsidRPr="0036066E">
        <w:rPr>
          <w:rStyle w:val="Hyperlink"/>
          <w:rFonts w:cstheme="majorHAnsi"/>
        </w:rPr>
        <w:t>Guide to external pathways</w:t>
      </w:r>
      <w:r>
        <w:rPr>
          <w:rFonts w:cstheme="majorHAnsi"/>
        </w:rPr>
        <w:fldChar w:fldCharType="end"/>
      </w:r>
      <w:hyperlink r:id="rId26"/>
    </w:p>
    <w:p w14:paraId="6D6BF363" w14:textId="30687728" w:rsidR="00BE2052" w:rsidRPr="002A5B2A" w:rsidRDefault="00E12D70" w:rsidP="002A5B2A">
      <w:pPr>
        <w:ind w:right="56"/>
        <w:rPr>
          <w:rFonts w:cstheme="majorHAnsi"/>
          <w:b/>
          <w:i/>
          <w:iCs/>
        </w:rPr>
      </w:pPr>
      <w:r>
        <w:rPr>
          <w:rFonts w:cstheme="majorHAnsi"/>
          <w:b/>
          <w:i/>
          <w:iCs/>
        </w:rPr>
        <w:t xml:space="preserve">Other support </w:t>
      </w:r>
      <w:r w:rsidR="00364208">
        <w:rPr>
          <w:rFonts w:cstheme="majorHAnsi"/>
          <w:b/>
          <w:i/>
          <w:iCs/>
        </w:rPr>
        <w:t xml:space="preserve">services </w:t>
      </w:r>
    </w:p>
    <w:p w14:paraId="02DCF1BB" w14:textId="7D7DD943" w:rsidR="00BE2052" w:rsidRPr="002A5B2A" w:rsidRDefault="00857BE6" w:rsidP="00F3106B">
      <w:pPr>
        <w:pStyle w:val="ListParagraph"/>
        <w:numPr>
          <w:ilvl w:val="0"/>
          <w:numId w:val="2"/>
        </w:numPr>
        <w:ind w:left="426" w:right="56"/>
        <w:rPr>
          <w:rFonts w:cstheme="majorHAnsi"/>
        </w:rPr>
      </w:pPr>
      <w:hyperlink r:id="rId27" w:history="1">
        <w:r w:rsidR="00BE2052" w:rsidRPr="002A5B2A">
          <w:rPr>
            <w:rStyle w:val="Hyperlink"/>
            <w:rFonts w:cstheme="majorHAnsi"/>
          </w:rPr>
          <w:t>ReachOut</w:t>
        </w:r>
      </w:hyperlink>
    </w:p>
    <w:p w14:paraId="71324369" w14:textId="4BE57EE7" w:rsidR="00BE2052" w:rsidRPr="002A5B2A" w:rsidRDefault="00857BE6" w:rsidP="00F3106B">
      <w:pPr>
        <w:pStyle w:val="ListParagraph"/>
        <w:numPr>
          <w:ilvl w:val="0"/>
          <w:numId w:val="2"/>
        </w:numPr>
        <w:ind w:left="426" w:right="56"/>
        <w:rPr>
          <w:rFonts w:cstheme="majorHAnsi"/>
        </w:rPr>
      </w:pPr>
      <w:hyperlink r:id="rId28" w:history="1">
        <w:r w:rsidR="00BE2052" w:rsidRPr="002A5B2A">
          <w:rPr>
            <w:rStyle w:val="Hyperlink"/>
            <w:rFonts w:cstheme="majorHAnsi"/>
          </w:rPr>
          <w:t>MensLine Australia</w:t>
        </w:r>
      </w:hyperlink>
      <w:r w:rsidR="00BE2052" w:rsidRPr="002A5B2A">
        <w:rPr>
          <w:rFonts w:cstheme="majorHAnsi"/>
          <w:color w:val="4D4F53"/>
        </w:rPr>
        <w:t xml:space="preserve"> or call 1300 78 99 78</w:t>
      </w:r>
    </w:p>
    <w:p w14:paraId="5CAC2EFC" w14:textId="77777777" w:rsidR="00364208" w:rsidRPr="005008D1" w:rsidRDefault="00857BE6" w:rsidP="00364208">
      <w:pPr>
        <w:pStyle w:val="ListParagraph"/>
        <w:numPr>
          <w:ilvl w:val="0"/>
          <w:numId w:val="2"/>
        </w:numPr>
        <w:ind w:left="426" w:right="56"/>
        <w:rPr>
          <w:rStyle w:val="Hyperlink"/>
        </w:rPr>
      </w:pPr>
      <w:hyperlink r:id="rId29" w:history="1">
        <w:r w:rsidR="00E12D70" w:rsidRPr="005008D1">
          <w:rPr>
            <w:rStyle w:val="Hyperlink"/>
            <w:rFonts w:cstheme="majorHAnsi"/>
          </w:rPr>
          <w:t>Australian Unions Support Centre</w:t>
        </w:r>
      </w:hyperlink>
    </w:p>
    <w:p w14:paraId="68C9A67D" w14:textId="36A46B11" w:rsidR="00364208" w:rsidRPr="00364208" w:rsidRDefault="00857BE6" w:rsidP="00364208">
      <w:pPr>
        <w:pStyle w:val="ListParagraph"/>
        <w:numPr>
          <w:ilvl w:val="0"/>
          <w:numId w:val="2"/>
        </w:numPr>
        <w:ind w:left="426" w:right="56"/>
        <w:rPr>
          <w:rFonts w:cstheme="majorHAnsi"/>
          <w:color w:val="4D4F53"/>
        </w:rPr>
      </w:pPr>
      <w:hyperlink r:id="rId30" w:history="1">
        <w:r w:rsidR="00364208" w:rsidRPr="00364208">
          <w:rPr>
            <w:rStyle w:val="Hyperlink"/>
            <w:rFonts w:cstheme="majorHAnsi"/>
          </w:rPr>
          <w:t>Australian Pro Bono Centre</w:t>
        </w:r>
      </w:hyperlink>
    </w:p>
    <w:p w14:paraId="216BC1BD" w14:textId="77777777" w:rsidR="00364208" w:rsidRPr="002A5B2A" w:rsidRDefault="00364208" w:rsidP="005008D1">
      <w:pPr>
        <w:pStyle w:val="ListParagraph"/>
        <w:ind w:left="426" w:right="56"/>
        <w:rPr>
          <w:rFonts w:cstheme="majorHAnsi"/>
          <w:color w:val="4D4F53"/>
        </w:rPr>
      </w:pPr>
    </w:p>
    <w:p w14:paraId="2F7FE537" w14:textId="662E4CB8" w:rsidR="006E181F" w:rsidRPr="00BD102D" w:rsidRDefault="00BD102D" w:rsidP="00BD102D">
      <w:pPr>
        <w:spacing w:before="0" w:after="160"/>
        <w:rPr>
          <w:rFonts w:cstheme="majorHAnsi"/>
          <w:color w:val="4D4F53"/>
          <w:sz w:val="19"/>
          <w:szCs w:val="19"/>
        </w:rPr>
      </w:pPr>
      <w:r>
        <w:rPr>
          <w:rFonts w:cstheme="majorHAnsi"/>
          <w:color w:val="4D4F53"/>
          <w:sz w:val="19"/>
          <w:szCs w:val="19"/>
        </w:rPr>
        <w:br w:type="page"/>
      </w:r>
    </w:p>
    <w:p w14:paraId="473E73B5" w14:textId="2395FD99" w:rsidR="001B5533" w:rsidRPr="006E181F" w:rsidRDefault="004D7DAF" w:rsidP="00660D7C">
      <w:pPr>
        <w:pStyle w:val="Heading1"/>
      </w:pPr>
      <w:r>
        <w:lastRenderedPageBreak/>
        <w:t>S</w:t>
      </w:r>
      <w:r w:rsidR="001B5533" w:rsidRPr="006E181F">
        <w:t>takeholders</w:t>
      </w:r>
    </w:p>
    <w:p w14:paraId="41E9C8FC" w14:textId="77777777" w:rsidR="007A5ACE" w:rsidRPr="00501A45" w:rsidRDefault="007A5ACE" w:rsidP="00790E41">
      <w:pPr>
        <w:ind w:right="56"/>
        <w:rPr>
          <w:rFonts w:cstheme="majorHAnsi"/>
          <w:szCs w:val="20"/>
        </w:rPr>
      </w:pPr>
    </w:p>
    <w:p w14:paraId="40D04A68" w14:textId="3376843F" w:rsidR="004C6009" w:rsidRPr="00501A45" w:rsidRDefault="000061F0" w:rsidP="00790E41">
      <w:pPr>
        <w:ind w:right="56"/>
        <w:rPr>
          <w:rFonts w:cstheme="majorHAnsi"/>
          <w:szCs w:val="20"/>
        </w:rPr>
      </w:pPr>
      <w:r w:rsidRPr="00501A45">
        <w:rPr>
          <w:rFonts w:cstheme="majorHAnsi"/>
          <w:szCs w:val="20"/>
        </w:rPr>
        <w:t>These Guidelines were</w:t>
      </w:r>
      <w:r w:rsidR="007A5ACE" w:rsidRPr="00501A45">
        <w:rPr>
          <w:rFonts w:cstheme="majorHAnsi"/>
          <w:szCs w:val="20"/>
        </w:rPr>
        <w:t xml:space="preserve"> created with the assistance of stakeholders. A special thanks to</w:t>
      </w:r>
      <w:r w:rsidR="00C122BA" w:rsidRPr="00501A45">
        <w:rPr>
          <w:rFonts w:cstheme="majorHAnsi"/>
          <w:szCs w:val="20"/>
        </w:rPr>
        <w:t>:</w:t>
      </w:r>
    </w:p>
    <w:p w14:paraId="72565592" w14:textId="77777777" w:rsidR="003C7B35" w:rsidRPr="00501A45" w:rsidRDefault="003C7B35" w:rsidP="00F70BBF">
      <w:pPr>
        <w:ind w:left="720"/>
        <w:rPr>
          <w:rFonts w:cstheme="majorHAnsi"/>
        </w:rPr>
      </w:pPr>
      <w:r w:rsidRPr="00501A45">
        <w:rPr>
          <w:rFonts w:cstheme="majorHAnsi"/>
        </w:rPr>
        <w:t>Arnold Bloch Leibler: Leon Zwier (Partner)</w:t>
      </w:r>
    </w:p>
    <w:p w14:paraId="0CDFD548" w14:textId="77777777" w:rsidR="00C122BA" w:rsidRPr="00501A45" w:rsidRDefault="00C122BA" w:rsidP="00F70BBF">
      <w:pPr>
        <w:ind w:left="720" w:right="56"/>
        <w:rPr>
          <w:rFonts w:cstheme="majorHAnsi"/>
        </w:rPr>
      </w:pPr>
      <w:r w:rsidRPr="00501A45">
        <w:rPr>
          <w:rFonts w:cstheme="majorHAnsi"/>
        </w:rPr>
        <w:t>Attorney-General's Department</w:t>
      </w:r>
    </w:p>
    <w:p w14:paraId="5DB89AD6"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Australian Building and Construction Commission</w:t>
      </w:r>
    </w:p>
    <w:p w14:paraId="65FB1B54"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Australian Chamber of Commerce and Industry</w:t>
      </w:r>
    </w:p>
    <w:p w14:paraId="18DFFEFA"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Australian Council of Human Rights Agencies (ACHRA) including State and Territory affiliates</w:t>
      </w:r>
    </w:p>
    <w:p w14:paraId="179C01B0"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Australian Council of Trade Unions (ACTU)</w:t>
      </w:r>
    </w:p>
    <w:p w14:paraId="0205EC20" w14:textId="77777777" w:rsidR="00C122BA" w:rsidRPr="00501A45" w:rsidRDefault="00C122BA" w:rsidP="00F70BBF">
      <w:pPr>
        <w:ind w:left="720" w:right="56"/>
        <w:rPr>
          <w:rFonts w:cstheme="majorHAnsi"/>
        </w:rPr>
      </w:pPr>
      <w:r w:rsidRPr="00501A45">
        <w:rPr>
          <w:rFonts w:cstheme="majorHAnsi"/>
        </w:rPr>
        <w:t>Australian Human Rights Commission</w:t>
      </w:r>
    </w:p>
    <w:p w14:paraId="46FB758E" w14:textId="069A45AB"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Australian Institute of Company Directors (AICD)</w:t>
      </w:r>
    </w:p>
    <w:p w14:paraId="197F6F53"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 xml:space="preserve">Champions of Change Coalition </w:t>
      </w:r>
    </w:p>
    <w:p w14:paraId="29F9E84E"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Chief Executive Women (CEW)</w:t>
      </w:r>
    </w:p>
    <w:p w14:paraId="06BAF2F5"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Clayton Utz</w:t>
      </w:r>
    </w:p>
    <w:p w14:paraId="5B9E024E"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Comcare</w:t>
      </w:r>
    </w:p>
    <w:p w14:paraId="3840273F" w14:textId="77777777" w:rsidR="00C122BA" w:rsidRPr="00501A45" w:rsidRDefault="00C122BA" w:rsidP="00F70BBF">
      <w:pPr>
        <w:ind w:left="720" w:right="56"/>
        <w:rPr>
          <w:rFonts w:cstheme="majorHAnsi"/>
        </w:rPr>
      </w:pPr>
      <w:r w:rsidRPr="00501A45">
        <w:rPr>
          <w:rFonts w:cstheme="majorHAnsi"/>
        </w:rPr>
        <w:t>Fair Work Commission</w:t>
      </w:r>
    </w:p>
    <w:p w14:paraId="102E6865" w14:textId="77777777" w:rsidR="00C122BA" w:rsidRPr="00501A45" w:rsidRDefault="00C122BA" w:rsidP="00F70BBF">
      <w:pPr>
        <w:ind w:left="720" w:right="56"/>
        <w:rPr>
          <w:rFonts w:cstheme="majorHAnsi"/>
        </w:rPr>
      </w:pPr>
      <w:r w:rsidRPr="00501A45">
        <w:rPr>
          <w:rFonts w:cstheme="majorHAnsi"/>
        </w:rPr>
        <w:t>Fair Work Ombudsman</w:t>
      </w:r>
    </w:p>
    <w:p w14:paraId="105BFC89"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Federation of Ethnic Communities Councils of Australia (FECCA)</w:t>
      </w:r>
    </w:p>
    <w:p w14:paraId="345B34E0"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Harmony Alliance</w:t>
      </w:r>
    </w:p>
    <w:p w14:paraId="5943277E"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JobWatch</w:t>
      </w:r>
    </w:p>
    <w:p w14:paraId="1F3C9516" w14:textId="77777777" w:rsidR="003C7B35" w:rsidRPr="00501A45" w:rsidRDefault="003C7B35" w:rsidP="00F70BBF">
      <w:pPr>
        <w:ind w:left="720"/>
        <w:rPr>
          <w:rFonts w:cstheme="majorHAnsi"/>
        </w:rPr>
      </w:pPr>
      <w:r w:rsidRPr="00501A45">
        <w:rPr>
          <w:rFonts w:cstheme="majorHAnsi"/>
        </w:rPr>
        <w:t>Maurice and Blackburn: Josh Bornstein (Partner) and Jessica Dawson-Field (Senior Associate)</w:t>
      </w:r>
    </w:p>
    <w:p w14:paraId="7230366B" w14:textId="77777777" w:rsidR="003C7B35" w:rsidRPr="00501A45" w:rsidRDefault="003C7B35" w:rsidP="00F70BBF">
      <w:pPr>
        <w:ind w:left="720"/>
        <w:rPr>
          <w:rFonts w:cstheme="majorHAnsi"/>
        </w:rPr>
      </w:pPr>
      <w:r w:rsidRPr="00501A45">
        <w:rPr>
          <w:rFonts w:cstheme="majorHAnsi"/>
        </w:rPr>
        <w:t>MinterEllison: Amanda Watt (Partner) and Rosie Meyerowitz (Associate)</w:t>
      </w:r>
    </w:p>
    <w:p w14:paraId="3EA4A760"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National Aboriginal and Torres Strait Islander Women's Alliance (NATSIWA)</w:t>
      </w:r>
    </w:p>
    <w:p w14:paraId="4DB5D522" w14:textId="77777777" w:rsidR="003C7B35" w:rsidRPr="00501A45" w:rsidRDefault="003C7B35" w:rsidP="00F70BBF">
      <w:pPr>
        <w:ind w:left="720"/>
        <w:rPr>
          <w:rFonts w:cstheme="majorHAnsi"/>
        </w:rPr>
      </w:pPr>
      <w:r w:rsidRPr="00501A45">
        <w:rPr>
          <w:rFonts w:cstheme="majorHAnsi"/>
        </w:rPr>
        <w:t>New Chambers: Kate Eastman AM SC</w:t>
      </w:r>
    </w:p>
    <w:p w14:paraId="4C5F5115" w14:textId="77777777" w:rsidR="003C7B35" w:rsidRPr="00501A45" w:rsidRDefault="003C7B35" w:rsidP="00F70BBF">
      <w:pPr>
        <w:ind w:left="720"/>
        <w:rPr>
          <w:rFonts w:cstheme="majorHAnsi"/>
        </w:rPr>
      </w:pPr>
      <w:r w:rsidRPr="00501A45">
        <w:rPr>
          <w:rFonts w:cstheme="majorHAnsi"/>
        </w:rPr>
        <w:t>RMIT University Professor Judith Bessant</w:t>
      </w:r>
    </w:p>
    <w:p w14:paraId="257C25AC" w14:textId="417E4ADE" w:rsidR="00C122BA" w:rsidRPr="00501A45" w:rsidRDefault="00C23B0B" w:rsidP="00F70BBF">
      <w:pPr>
        <w:ind w:left="720" w:right="56"/>
        <w:rPr>
          <w:rFonts w:eastAsia="Times New Roman" w:cstheme="majorHAnsi"/>
          <w:lang w:eastAsia="en-AU"/>
        </w:rPr>
      </w:pPr>
      <w:r w:rsidRPr="00501A45">
        <w:rPr>
          <w:rFonts w:eastAsia="Times New Roman" w:cstheme="majorHAnsi"/>
          <w:lang w:eastAsia="en-AU"/>
        </w:rPr>
        <w:t xml:space="preserve">Safe Work </w:t>
      </w:r>
      <w:r w:rsidR="00C122BA" w:rsidRPr="00501A45">
        <w:rPr>
          <w:rFonts w:eastAsia="Times New Roman" w:cstheme="majorHAnsi"/>
          <w:lang w:eastAsia="en-AU"/>
        </w:rPr>
        <w:t>Australia</w:t>
      </w:r>
    </w:p>
    <w:p w14:paraId="34C374FC" w14:textId="77777777" w:rsidR="00C122BA" w:rsidRPr="00501A45" w:rsidRDefault="00C122BA" w:rsidP="00F70BBF">
      <w:pPr>
        <w:ind w:left="720" w:right="56"/>
        <w:rPr>
          <w:rFonts w:eastAsia="Times New Roman" w:cstheme="majorHAnsi"/>
          <w:lang w:eastAsia="en-AU"/>
        </w:rPr>
      </w:pPr>
      <w:r w:rsidRPr="00501A45">
        <w:rPr>
          <w:rFonts w:eastAsia="Times New Roman" w:cstheme="majorHAnsi"/>
          <w:lang w:eastAsia="en-AU"/>
        </w:rPr>
        <w:t>The Australian Industry Group (Ai Group)</w:t>
      </w:r>
    </w:p>
    <w:p w14:paraId="37A15307" w14:textId="77777777" w:rsidR="003C7B35" w:rsidRPr="00501A45" w:rsidRDefault="003C7B35" w:rsidP="00F70BBF">
      <w:pPr>
        <w:ind w:left="720" w:right="56"/>
        <w:rPr>
          <w:rFonts w:eastAsia="Times New Roman" w:cstheme="majorHAnsi"/>
          <w:lang w:eastAsia="en-AU"/>
        </w:rPr>
      </w:pPr>
      <w:r w:rsidRPr="00501A45">
        <w:rPr>
          <w:rFonts w:eastAsia="Times New Roman" w:cstheme="majorHAnsi"/>
          <w:lang w:eastAsia="en-AU"/>
        </w:rPr>
        <w:t>Unions NSW</w:t>
      </w:r>
    </w:p>
    <w:p w14:paraId="1B653251" w14:textId="19C9A6D3" w:rsidR="00C122BA" w:rsidRPr="00501A45" w:rsidRDefault="003C7B35" w:rsidP="00F70BBF">
      <w:pPr>
        <w:ind w:left="720" w:right="56"/>
      </w:pPr>
      <w:r w:rsidRPr="00501A45">
        <w:rPr>
          <w:rFonts w:eastAsia="Times New Roman" w:cstheme="majorHAnsi"/>
          <w:lang w:eastAsia="en-AU"/>
        </w:rPr>
        <w:t>Workplace Gender Equality Agency</w:t>
      </w:r>
    </w:p>
    <w:sectPr w:rsidR="00C122BA" w:rsidRPr="00501A45" w:rsidSect="005A4B37">
      <w:type w:val="continuous"/>
      <w:pgSz w:w="11907" w:h="16839" w:code="9"/>
      <w:pgMar w:top="993" w:right="708" w:bottom="964" w:left="1134" w:header="142" w:footer="163"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ACF88" w16cex:dateUtc="2022-09-12T23:44:00Z"/>
  <w16cex:commentExtensible w16cex:durableId="26CED887" w16cex:dateUtc="2022-09-16T01:42:00Z"/>
  <w16cex:commentExtensible w16cex:durableId="26CED902" w16cex:dateUtc="2022-09-16T01:44:00Z"/>
  <w16cex:commentExtensible w16cex:durableId="26CEDAED" w16cex:dateUtc="2022-09-16T01:52:00Z"/>
  <w16cex:commentExtensible w16cex:durableId="26CAD76B" w16cex:dateUtc="2022-09-13T00:18:00Z"/>
  <w16cex:commentExtensible w16cex:durableId="26CED9A0" w16cex:dateUtc="2022-09-16T01:46:00Z"/>
  <w16cex:commentExtensible w16cex:durableId="26CEDA59" w16cex:dateUtc="2022-09-16T01:49:00Z"/>
  <w16cex:commentExtensible w16cex:durableId="26CEDA7C" w16cex:dateUtc="2022-09-16T01:50:00Z"/>
  <w16cex:commentExtensible w16cex:durableId="26CEDA88" w16cex:dateUtc="2022-09-16T01: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CA9F" w14:textId="77777777" w:rsidR="00857BE6" w:rsidRDefault="00857BE6" w:rsidP="00CB52E2">
      <w:pPr>
        <w:spacing w:after="0" w:line="240" w:lineRule="auto"/>
      </w:pPr>
      <w:r>
        <w:separator/>
      </w:r>
    </w:p>
  </w:endnote>
  <w:endnote w:type="continuationSeparator" w:id="0">
    <w:p w14:paraId="6AC194BC" w14:textId="77777777" w:rsidR="00857BE6" w:rsidRDefault="00857BE6" w:rsidP="00CB52E2">
      <w:pPr>
        <w:spacing w:after="0" w:line="240" w:lineRule="auto"/>
      </w:pPr>
      <w:r>
        <w:continuationSeparator/>
      </w:r>
    </w:p>
  </w:endnote>
  <w:endnote w:type="continuationNotice" w:id="1">
    <w:p w14:paraId="3C853FB1" w14:textId="77777777" w:rsidR="00857BE6" w:rsidRDefault="00857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72 Condensed">
    <w:panose1 w:val="020B0506030000000003"/>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194679"/>
      <w:docPartObj>
        <w:docPartGallery w:val="Page Numbers (Bottom of Page)"/>
        <w:docPartUnique/>
      </w:docPartObj>
    </w:sdtPr>
    <w:sdtEndPr>
      <w:rPr>
        <w:noProof/>
      </w:rPr>
    </w:sdtEndPr>
    <w:sdtContent>
      <w:p w14:paraId="70591954" w14:textId="77777777" w:rsidR="00231950" w:rsidRDefault="00231950">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52DA3DA" w14:textId="77777777" w:rsidR="00231950" w:rsidRDefault="0023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78A0" w14:textId="77777777" w:rsidR="00857BE6" w:rsidRDefault="00857BE6" w:rsidP="00CB52E2">
      <w:pPr>
        <w:spacing w:after="0" w:line="240" w:lineRule="auto"/>
      </w:pPr>
      <w:r>
        <w:separator/>
      </w:r>
    </w:p>
  </w:footnote>
  <w:footnote w:type="continuationSeparator" w:id="0">
    <w:p w14:paraId="3D6048C4" w14:textId="77777777" w:rsidR="00857BE6" w:rsidRDefault="00857BE6" w:rsidP="00CB52E2">
      <w:pPr>
        <w:spacing w:after="0" w:line="240" w:lineRule="auto"/>
      </w:pPr>
      <w:r>
        <w:continuationSeparator/>
      </w:r>
    </w:p>
  </w:footnote>
  <w:footnote w:type="continuationNotice" w:id="1">
    <w:p w14:paraId="3AD27DB9" w14:textId="77777777" w:rsidR="00857BE6" w:rsidRDefault="00857BE6">
      <w:pPr>
        <w:spacing w:after="0" w:line="240" w:lineRule="auto"/>
      </w:pPr>
    </w:p>
  </w:footnote>
  <w:footnote w:id="2">
    <w:p w14:paraId="13E21ACD" w14:textId="0CE88BC6" w:rsidR="002A5197" w:rsidRDefault="002A5197" w:rsidP="006677EA">
      <w:pPr>
        <w:pStyle w:val="FootnoteText"/>
      </w:pPr>
      <w:r w:rsidRPr="002A5197">
        <w:rPr>
          <w:rStyle w:val="FootnoteReference"/>
        </w:rPr>
        <w:sym w:font="Symbol" w:char="F02A"/>
      </w:r>
      <w:r>
        <w:t xml:space="preserve"> </w:t>
      </w:r>
      <w:r w:rsidRPr="00F844A4">
        <w:t>Respect@Work: Sexual Harassment National Inquiry Report (2020)</w:t>
      </w:r>
      <w:r>
        <w:t>,</w:t>
      </w:r>
      <w:r w:rsidRPr="00F844A4">
        <w:t xml:space="preserve"> </w:t>
      </w:r>
      <w:r>
        <w:t>p563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A0D05"/>
    <w:multiLevelType w:val="hybridMultilevel"/>
    <w:tmpl w:val="7B58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71456"/>
    <w:multiLevelType w:val="hybridMultilevel"/>
    <w:tmpl w:val="22BA8598"/>
    <w:lvl w:ilvl="0" w:tplc="ACD0319C">
      <w:start w:val="1"/>
      <w:numFmt w:val="bullet"/>
      <w:lvlText w:val=""/>
      <w:lvlJc w:val="left"/>
      <w:pPr>
        <w:ind w:left="785" w:hanging="360"/>
      </w:pPr>
      <w:rPr>
        <w:rFonts w:ascii="Symbol" w:hAnsi="Symbol" w:hint="default"/>
        <w:color w:val="auto"/>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3B445372"/>
    <w:multiLevelType w:val="hybridMultilevel"/>
    <w:tmpl w:val="50A05C52"/>
    <w:lvl w:ilvl="0" w:tplc="EC38AF8A">
      <w:numFmt w:val="bullet"/>
      <w:lvlText w:val="-"/>
      <w:lvlJc w:val="left"/>
      <w:pPr>
        <w:ind w:left="720" w:hanging="360"/>
      </w:pPr>
      <w:rPr>
        <w:rFonts w:ascii="Calibri" w:eastAsiaTheme="minorHAnsi" w:hAnsi="Calibri" w:cs="Calibri" w:hint="default"/>
      </w:rPr>
    </w:lvl>
    <w:lvl w:ilvl="1" w:tplc="E1C03E1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590713"/>
    <w:multiLevelType w:val="hybridMultilevel"/>
    <w:tmpl w:val="112AB532"/>
    <w:lvl w:ilvl="0" w:tplc="8DCE790E">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D505D9"/>
    <w:multiLevelType w:val="hybridMultilevel"/>
    <w:tmpl w:val="0E10D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C4FAE"/>
    <w:multiLevelType w:val="hybridMultilevel"/>
    <w:tmpl w:val="25EAE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CB04A4"/>
    <w:multiLevelType w:val="hybridMultilevel"/>
    <w:tmpl w:val="27565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5B0456"/>
    <w:multiLevelType w:val="hybridMultilevel"/>
    <w:tmpl w:val="2BC6D8CA"/>
    <w:lvl w:ilvl="0" w:tplc="EC38AF8A">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48D736A8"/>
    <w:multiLevelType w:val="hybridMultilevel"/>
    <w:tmpl w:val="0EBA5266"/>
    <w:lvl w:ilvl="0" w:tplc="EC38AF8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371" w:hanging="360"/>
      </w:pPr>
      <w:rPr>
        <w:rFonts w:ascii="Courier New" w:hAnsi="Courier New" w:cs="Courier New" w:hint="default"/>
      </w:rPr>
    </w:lvl>
    <w:lvl w:ilvl="2" w:tplc="0C090005" w:tentative="1">
      <w:start w:val="1"/>
      <w:numFmt w:val="bullet"/>
      <w:lvlText w:val=""/>
      <w:lvlJc w:val="left"/>
      <w:pPr>
        <w:ind w:left="1091" w:hanging="360"/>
      </w:pPr>
      <w:rPr>
        <w:rFonts w:ascii="Wingdings" w:hAnsi="Wingdings" w:hint="default"/>
      </w:rPr>
    </w:lvl>
    <w:lvl w:ilvl="3" w:tplc="0C090001" w:tentative="1">
      <w:start w:val="1"/>
      <w:numFmt w:val="bullet"/>
      <w:lvlText w:val=""/>
      <w:lvlJc w:val="left"/>
      <w:pPr>
        <w:ind w:left="1811" w:hanging="360"/>
      </w:pPr>
      <w:rPr>
        <w:rFonts w:ascii="Symbol" w:hAnsi="Symbol" w:hint="default"/>
      </w:rPr>
    </w:lvl>
    <w:lvl w:ilvl="4" w:tplc="0C090003" w:tentative="1">
      <w:start w:val="1"/>
      <w:numFmt w:val="bullet"/>
      <w:lvlText w:val="o"/>
      <w:lvlJc w:val="left"/>
      <w:pPr>
        <w:ind w:left="2531" w:hanging="360"/>
      </w:pPr>
      <w:rPr>
        <w:rFonts w:ascii="Courier New" w:hAnsi="Courier New" w:cs="Courier New" w:hint="default"/>
      </w:rPr>
    </w:lvl>
    <w:lvl w:ilvl="5" w:tplc="0C090005" w:tentative="1">
      <w:start w:val="1"/>
      <w:numFmt w:val="bullet"/>
      <w:lvlText w:val=""/>
      <w:lvlJc w:val="left"/>
      <w:pPr>
        <w:ind w:left="3251" w:hanging="360"/>
      </w:pPr>
      <w:rPr>
        <w:rFonts w:ascii="Wingdings" w:hAnsi="Wingdings" w:hint="default"/>
      </w:rPr>
    </w:lvl>
    <w:lvl w:ilvl="6" w:tplc="0C090001" w:tentative="1">
      <w:start w:val="1"/>
      <w:numFmt w:val="bullet"/>
      <w:lvlText w:val=""/>
      <w:lvlJc w:val="left"/>
      <w:pPr>
        <w:ind w:left="3971" w:hanging="360"/>
      </w:pPr>
      <w:rPr>
        <w:rFonts w:ascii="Symbol" w:hAnsi="Symbol" w:hint="default"/>
      </w:rPr>
    </w:lvl>
    <w:lvl w:ilvl="7" w:tplc="0C090003" w:tentative="1">
      <w:start w:val="1"/>
      <w:numFmt w:val="bullet"/>
      <w:lvlText w:val="o"/>
      <w:lvlJc w:val="left"/>
      <w:pPr>
        <w:ind w:left="4691" w:hanging="360"/>
      </w:pPr>
      <w:rPr>
        <w:rFonts w:ascii="Courier New" w:hAnsi="Courier New" w:cs="Courier New" w:hint="default"/>
      </w:rPr>
    </w:lvl>
    <w:lvl w:ilvl="8" w:tplc="0C090005" w:tentative="1">
      <w:start w:val="1"/>
      <w:numFmt w:val="bullet"/>
      <w:lvlText w:val=""/>
      <w:lvlJc w:val="left"/>
      <w:pPr>
        <w:ind w:left="5411" w:hanging="360"/>
      </w:pPr>
      <w:rPr>
        <w:rFonts w:ascii="Wingdings" w:hAnsi="Wingdings" w:hint="default"/>
      </w:rPr>
    </w:lvl>
  </w:abstractNum>
  <w:abstractNum w:abstractNumId="9" w15:restartNumberingAfterBreak="0">
    <w:nsid w:val="4E282721"/>
    <w:multiLevelType w:val="hybridMultilevel"/>
    <w:tmpl w:val="9BE8989C"/>
    <w:lvl w:ilvl="0" w:tplc="171849D8">
      <w:start w:val="1"/>
      <w:numFmt w:val="bullet"/>
      <w:lvlText w:val=""/>
      <w:lvlJc w:val="left"/>
      <w:pPr>
        <w:ind w:left="927"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5E23BA"/>
    <w:multiLevelType w:val="hybridMultilevel"/>
    <w:tmpl w:val="A83A5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9B1DD9"/>
    <w:multiLevelType w:val="hybridMultilevel"/>
    <w:tmpl w:val="766EE9C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525967F7"/>
    <w:multiLevelType w:val="hybridMultilevel"/>
    <w:tmpl w:val="7A56C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E15B6E"/>
    <w:multiLevelType w:val="hybridMultilevel"/>
    <w:tmpl w:val="29D64AAC"/>
    <w:lvl w:ilvl="0" w:tplc="48CC2E22">
      <w:start w:val="5"/>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19BE0B9E">
      <w:start w:val="1"/>
      <w:numFmt w:val="decimal"/>
      <w:lvlText w:val="%4."/>
      <w:lvlJc w:val="left"/>
      <w:pPr>
        <w:ind w:left="3240" w:hanging="360"/>
      </w:pPr>
      <w:rPr>
        <w:sz w:val="20"/>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57C4BE1"/>
    <w:multiLevelType w:val="hybridMultilevel"/>
    <w:tmpl w:val="8EE20412"/>
    <w:lvl w:ilvl="0" w:tplc="8DCE790E">
      <w:numFmt w:val="bullet"/>
      <w:lvlText w:val="-"/>
      <w:lvlJc w:val="left"/>
      <w:pPr>
        <w:ind w:left="360" w:hanging="360"/>
      </w:pPr>
      <w:rPr>
        <w:rFonts w:ascii="Calibri" w:eastAsiaTheme="minorHAns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3B396E"/>
    <w:multiLevelType w:val="hybridMultilevel"/>
    <w:tmpl w:val="E4C4CE1E"/>
    <w:lvl w:ilvl="0" w:tplc="EC38AF8A">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577C062C"/>
    <w:multiLevelType w:val="hybridMultilevel"/>
    <w:tmpl w:val="F5960886"/>
    <w:lvl w:ilvl="0" w:tplc="EC38AF8A">
      <w:numFmt w:val="bullet"/>
      <w:lvlText w:val="-"/>
      <w:lvlJc w:val="left"/>
      <w:pPr>
        <w:ind w:left="1713" w:hanging="360"/>
      </w:pPr>
      <w:rPr>
        <w:rFonts w:ascii="Calibri" w:eastAsiaTheme="minorHAnsi" w:hAnsi="Calibri" w:cs="Calibr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15:restartNumberingAfterBreak="0">
    <w:nsid w:val="5C2B1FA3"/>
    <w:multiLevelType w:val="hybridMultilevel"/>
    <w:tmpl w:val="B96256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6190B1C"/>
    <w:multiLevelType w:val="hybridMultilevel"/>
    <w:tmpl w:val="E9C27962"/>
    <w:lvl w:ilvl="0" w:tplc="0240C8A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435785"/>
    <w:multiLevelType w:val="hybridMultilevel"/>
    <w:tmpl w:val="4CC69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A83B59"/>
    <w:multiLevelType w:val="hybridMultilevel"/>
    <w:tmpl w:val="FB98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8021A1"/>
    <w:multiLevelType w:val="hybridMultilevel"/>
    <w:tmpl w:val="88464BD0"/>
    <w:lvl w:ilvl="0" w:tplc="EC38AF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3B354C"/>
    <w:multiLevelType w:val="hybridMultilevel"/>
    <w:tmpl w:val="2664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8E08B4"/>
    <w:multiLevelType w:val="hybridMultilevel"/>
    <w:tmpl w:val="32C8850A"/>
    <w:lvl w:ilvl="0" w:tplc="2F5AF654">
      <w:start w:val="1"/>
      <w:numFmt w:val="decimal"/>
      <w:pStyle w:val="Principles"/>
      <w:lvlText w:val="%1."/>
      <w:lvlJc w:val="left"/>
      <w:pPr>
        <w:ind w:left="1004" w:hanging="720"/>
      </w:pPr>
      <w:rPr>
        <w:rFonts w:hint="default"/>
        <w:b w:val="0"/>
        <w:i w:val="0"/>
        <w:color w:val="2E74B5" w:themeColor="accent1" w:themeShade="BF"/>
        <w:sz w:val="52"/>
        <w14:shadow w14:blurRad="0" w14:dist="0" w14:dir="0" w14:sx="0" w14:sy="0" w14:kx="0" w14:ky="0" w14:algn="none">
          <w14:srgbClr w14:val="000000"/>
        </w14:shadow>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7D0AB2"/>
    <w:multiLevelType w:val="hybridMultilevel"/>
    <w:tmpl w:val="1F94C224"/>
    <w:lvl w:ilvl="0" w:tplc="EC38AF8A">
      <w:numFmt w:val="bullet"/>
      <w:lvlText w:val="-"/>
      <w:lvlJc w:val="left"/>
      <w:pPr>
        <w:ind w:left="1713" w:hanging="360"/>
      </w:pPr>
      <w:rPr>
        <w:rFonts w:ascii="Calibri" w:eastAsiaTheme="minorHAnsi" w:hAnsi="Calibri" w:cs="Calibri"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num w:numId="1">
    <w:abstractNumId w:val="2"/>
  </w:num>
  <w:num w:numId="2">
    <w:abstractNumId w:val="9"/>
  </w:num>
  <w:num w:numId="3">
    <w:abstractNumId w:val="1"/>
  </w:num>
  <w:num w:numId="4">
    <w:abstractNumId w:val="22"/>
  </w:num>
  <w:num w:numId="5">
    <w:abstractNumId w:val="7"/>
  </w:num>
  <w:num w:numId="6">
    <w:abstractNumId w:val="24"/>
  </w:num>
  <w:num w:numId="7">
    <w:abstractNumId w:val="16"/>
  </w:num>
  <w:num w:numId="8">
    <w:abstractNumId w:val="15"/>
  </w:num>
  <w:num w:numId="9">
    <w:abstractNumId w:val="13"/>
  </w:num>
  <w:num w:numId="10">
    <w:abstractNumId w:val="2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8"/>
  </w:num>
  <w:num w:numId="15">
    <w:abstractNumId w:val="10"/>
  </w:num>
  <w:num w:numId="16">
    <w:abstractNumId w:val="5"/>
  </w:num>
  <w:num w:numId="17">
    <w:abstractNumId w:val="4"/>
  </w:num>
  <w:num w:numId="18">
    <w:abstractNumId w:val="6"/>
  </w:num>
  <w:num w:numId="19">
    <w:abstractNumId w:val="19"/>
  </w:num>
  <w:num w:numId="20">
    <w:abstractNumId w:val="20"/>
  </w:num>
  <w:num w:numId="21">
    <w:abstractNumId w:val="18"/>
  </w:num>
  <w:num w:numId="22">
    <w:abstractNumId w:val="12"/>
  </w:num>
  <w:num w:numId="23">
    <w:abstractNumId w:val="0"/>
  </w:num>
  <w:num w:numId="24">
    <w:abstractNumId w:val="11"/>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09"/>
    <w:rsid w:val="00000E8D"/>
    <w:rsid w:val="00000EFB"/>
    <w:rsid w:val="0000112C"/>
    <w:rsid w:val="000015CA"/>
    <w:rsid w:val="00001E87"/>
    <w:rsid w:val="00003A49"/>
    <w:rsid w:val="0000463D"/>
    <w:rsid w:val="00004707"/>
    <w:rsid w:val="00005D0D"/>
    <w:rsid w:val="000061F0"/>
    <w:rsid w:val="0001147D"/>
    <w:rsid w:val="000127B7"/>
    <w:rsid w:val="00015C36"/>
    <w:rsid w:val="00015F5B"/>
    <w:rsid w:val="00016812"/>
    <w:rsid w:val="00016F64"/>
    <w:rsid w:val="00017B0E"/>
    <w:rsid w:val="00021297"/>
    <w:rsid w:val="00021737"/>
    <w:rsid w:val="0002217A"/>
    <w:rsid w:val="00023A28"/>
    <w:rsid w:val="00023D99"/>
    <w:rsid w:val="00024BDA"/>
    <w:rsid w:val="00025F1F"/>
    <w:rsid w:val="00025FE5"/>
    <w:rsid w:val="00027A20"/>
    <w:rsid w:val="0003078F"/>
    <w:rsid w:val="000308DC"/>
    <w:rsid w:val="000324F9"/>
    <w:rsid w:val="00034596"/>
    <w:rsid w:val="00035C00"/>
    <w:rsid w:val="00036B72"/>
    <w:rsid w:val="00037028"/>
    <w:rsid w:val="0004041C"/>
    <w:rsid w:val="00040A05"/>
    <w:rsid w:val="00040B7C"/>
    <w:rsid w:val="00041535"/>
    <w:rsid w:val="000418AF"/>
    <w:rsid w:val="000424DC"/>
    <w:rsid w:val="00042609"/>
    <w:rsid w:val="00043C75"/>
    <w:rsid w:val="00044439"/>
    <w:rsid w:val="00047BEF"/>
    <w:rsid w:val="000504BC"/>
    <w:rsid w:val="00051277"/>
    <w:rsid w:val="00051576"/>
    <w:rsid w:val="00052383"/>
    <w:rsid w:val="00053457"/>
    <w:rsid w:val="00053CE7"/>
    <w:rsid w:val="00054FBC"/>
    <w:rsid w:val="000551B9"/>
    <w:rsid w:val="00055281"/>
    <w:rsid w:val="00057325"/>
    <w:rsid w:val="00060636"/>
    <w:rsid w:val="00061AAC"/>
    <w:rsid w:val="00061BA1"/>
    <w:rsid w:val="00061BC4"/>
    <w:rsid w:val="000643F2"/>
    <w:rsid w:val="00064C82"/>
    <w:rsid w:val="000654D7"/>
    <w:rsid w:val="0006767C"/>
    <w:rsid w:val="000705FD"/>
    <w:rsid w:val="00073B94"/>
    <w:rsid w:val="00074190"/>
    <w:rsid w:val="00080CE4"/>
    <w:rsid w:val="000813D2"/>
    <w:rsid w:val="00081718"/>
    <w:rsid w:val="000819ED"/>
    <w:rsid w:val="00082FFD"/>
    <w:rsid w:val="00083EA4"/>
    <w:rsid w:val="0008532A"/>
    <w:rsid w:val="00087C09"/>
    <w:rsid w:val="00090569"/>
    <w:rsid w:val="00091053"/>
    <w:rsid w:val="00093A35"/>
    <w:rsid w:val="00094C92"/>
    <w:rsid w:val="000952D4"/>
    <w:rsid w:val="0009574B"/>
    <w:rsid w:val="00095B26"/>
    <w:rsid w:val="0009662E"/>
    <w:rsid w:val="00097274"/>
    <w:rsid w:val="00097F0D"/>
    <w:rsid w:val="000A23DB"/>
    <w:rsid w:val="000A2C56"/>
    <w:rsid w:val="000A3163"/>
    <w:rsid w:val="000A35F9"/>
    <w:rsid w:val="000A4C05"/>
    <w:rsid w:val="000A4CFD"/>
    <w:rsid w:val="000A7163"/>
    <w:rsid w:val="000A775C"/>
    <w:rsid w:val="000A79DA"/>
    <w:rsid w:val="000B192E"/>
    <w:rsid w:val="000B1D3B"/>
    <w:rsid w:val="000B1D79"/>
    <w:rsid w:val="000B1F4E"/>
    <w:rsid w:val="000B3929"/>
    <w:rsid w:val="000B3F4C"/>
    <w:rsid w:val="000B5395"/>
    <w:rsid w:val="000B5FA1"/>
    <w:rsid w:val="000B64E9"/>
    <w:rsid w:val="000B6D01"/>
    <w:rsid w:val="000B7254"/>
    <w:rsid w:val="000B7435"/>
    <w:rsid w:val="000C032B"/>
    <w:rsid w:val="000C0433"/>
    <w:rsid w:val="000C24A3"/>
    <w:rsid w:val="000C31D5"/>
    <w:rsid w:val="000D06A9"/>
    <w:rsid w:val="000D16B0"/>
    <w:rsid w:val="000D19FE"/>
    <w:rsid w:val="000D23E6"/>
    <w:rsid w:val="000D2631"/>
    <w:rsid w:val="000D2D7C"/>
    <w:rsid w:val="000D492F"/>
    <w:rsid w:val="000D4FE7"/>
    <w:rsid w:val="000D527F"/>
    <w:rsid w:val="000D5501"/>
    <w:rsid w:val="000D6B28"/>
    <w:rsid w:val="000D715D"/>
    <w:rsid w:val="000D7445"/>
    <w:rsid w:val="000D7912"/>
    <w:rsid w:val="000D7C47"/>
    <w:rsid w:val="000D7CAA"/>
    <w:rsid w:val="000E0C18"/>
    <w:rsid w:val="000E26D2"/>
    <w:rsid w:val="000E2C8C"/>
    <w:rsid w:val="000E36C1"/>
    <w:rsid w:val="000E3C3A"/>
    <w:rsid w:val="000E4EF2"/>
    <w:rsid w:val="000E637A"/>
    <w:rsid w:val="000E7844"/>
    <w:rsid w:val="000E7BC8"/>
    <w:rsid w:val="000F0780"/>
    <w:rsid w:val="000F314F"/>
    <w:rsid w:val="000F338F"/>
    <w:rsid w:val="000F45A1"/>
    <w:rsid w:val="000F4F01"/>
    <w:rsid w:val="000F54FE"/>
    <w:rsid w:val="000F5ABC"/>
    <w:rsid w:val="000F7240"/>
    <w:rsid w:val="000F7918"/>
    <w:rsid w:val="00101026"/>
    <w:rsid w:val="00101B63"/>
    <w:rsid w:val="00101C85"/>
    <w:rsid w:val="00101F98"/>
    <w:rsid w:val="00101FAC"/>
    <w:rsid w:val="0010230D"/>
    <w:rsid w:val="001028CD"/>
    <w:rsid w:val="00103189"/>
    <w:rsid w:val="00103787"/>
    <w:rsid w:val="00103AB0"/>
    <w:rsid w:val="00103EEF"/>
    <w:rsid w:val="00104CD6"/>
    <w:rsid w:val="0010548B"/>
    <w:rsid w:val="00107F09"/>
    <w:rsid w:val="001101D7"/>
    <w:rsid w:val="001108C4"/>
    <w:rsid w:val="001117BC"/>
    <w:rsid w:val="0011203E"/>
    <w:rsid w:val="0011455B"/>
    <w:rsid w:val="00114CE1"/>
    <w:rsid w:val="0011549D"/>
    <w:rsid w:val="001155DC"/>
    <w:rsid w:val="001158D0"/>
    <w:rsid w:val="00115B1E"/>
    <w:rsid w:val="00115EE9"/>
    <w:rsid w:val="00115F96"/>
    <w:rsid w:val="00116A37"/>
    <w:rsid w:val="00120070"/>
    <w:rsid w:val="00120835"/>
    <w:rsid w:val="0012124C"/>
    <w:rsid w:val="00121EB7"/>
    <w:rsid w:val="00123D64"/>
    <w:rsid w:val="00126F21"/>
    <w:rsid w:val="00130553"/>
    <w:rsid w:val="00130828"/>
    <w:rsid w:val="00130FEB"/>
    <w:rsid w:val="00131A26"/>
    <w:rsid w:val="001328AC"/>
    <w:rsid w:val="00132B1B"/>
    <w:rsid w:val="00134BEF"/>
    <w:rsid w:val="00134DEF"/>
    <w:rsid w:val="00135351"/>
    <w:rsid w:val="00135BC2"/>
    <w:rsid w:val="00135FEB"/>
    <w:rsid w:val="00136824"/>
    <w:rsid w:val="00136FAD"/>
    <w:rsid w:val="00140039"/>
    <w:rsid w:val="0014067D"/>
    <w:rsid w:val="001417EB"/>
    <w:rsid w:val="0014666E"/>
    <w:rsid w:val="001476D9"/>
    <w:rsid w:val="001477B9"/>
    <w:rsid w:val="00147803"/>
    <w:rsid w:val="001511F4"/>
    <w:rsid w:val="001526DF"/>
    <w:rsid w:val="001526F8"/>
    <w:rsid w:val="00152B85"/>
    <w:rsid w:val="00152F22"/>
    <w:rsid w:val="0015483E"/>
    <w:rsid w:val="00155D36"/>
    <w:rsid w:val="00156771"/>
    <w:rsid w:val="00156AD8"/>
    <w:rsid w:val="001572EE"/>
    <w:rsid w:val="00157410"/>
    <w:rsid w:val="00157497"/>
    <w:rsid w:val="001613B9"/>
    <w:rsid w:val="00163096"/>
    <w:rsid w:val="00163529"/>
    <w:rsid w:val="00163CC2"/>
    <w:rsid w:val="001654BD"/>
    <w:rsid w:val="00166E5F"/>
    <w:rsid w:val="00167229"/>
    <w:rsid w:val="00173332"/>
    <w:rsid w:val="00173BE4"/>
    <w:rsid w:val="00173CEC"/>
    <w:rsid w:val="00173DFB"/>
    <w:rsid w:val="00174286"/>
    <w:rsid w:val="0017651E"/>
    <w:rsid w:val="0018055C"/>
    <w:rsid w:val="00181033"/>
    <w:rsid w:val="0018228C"/>
    <w:rsid w:val="001829DC"/>
    <w:rsid w:val="00182EC7"/>
    <w:rsid w:val="00183F47"/>
    <w:rsid w:val="00184014"/>
    <w:rsid w:val="00184260"/>
    <w:rsid w:val="0018591A"/>
    <w:rsid w:val="00185D58"/>
    <w:rsid w:val="0018662D"/>
    <w:rsid w:val="00186F3A"/>
    <w:rsid w:val="0019073B"/>
    <w:rsid w:val="0019133C"/>
    <w:rsid w:val="00192424"/>
    <w:rsid w:val="00192702"/>
    <w:rsid w:val="00192E74"/>
    <w:rsid w:val="001975C9"/>
    <w:rsid w:val="00197AA5"/>
    <w:rsid w:val="001A1B7E"/>
    <w:rsid w:val="001A2556"/>
    <w:rsid w:val="001A28E2"/>
    <w:rsid w:val="001A2D5A"/>
    <w:rsid w:val="001A3FA8"/>
    <w:rsid w:val="001A48DD"/>
    <w:rsid w:val="001B0309"/>
    <w:rsid w:val="001B055D"/>
    <w:rsid w:val="001B0E84"/>
    <w:rsid w:val="001B1CE1"/>
    <w:rsid w:val="001B36CC"/>
    <w:rsid w:val="001B5533"/>
    <w:rsid w:val="001B567F"/>
    <w:rsid w:val="001B5F52"/>
    <w:rsid w:val="001C1FDE"/>
    <w:rsid w:val="001C3508"/>
    <w:rsid w:val="001C3C9F"/>
    <w:rsid w:val="001C49CC"/>
    <w:rsid w:val="001C5105"/>
    <w:rsid w:val="001C6C11"/>
    <w:rsid w:val="001C6FD3"/>
    <w:rsid w:val="001D1B14"/>
    <w:rsid w:val="001D1D54"/>
    <w:rsid w:val="001D2604"/>
    <w:rsid w:val="001D329E"/>
    <w:rsid w:val="001D3AA6"/>
    <w:rsid w:val="001D3AFC"/>
    <w:rsid w:val="001D40C4"/>
    <w:rsid w:val="001D4F68"/>
    <w:rsid w:val="001D50F9"/>
    <w:rsid w:val="001D5445"/>
    <w:rsid w:val="001D6409"/>
    <w:rsid w:val="001D641B"/>
    <w:rsid w:val="001D66FE"/>
    <w:rsid w:val="001D6D6C"/>
    <w:rsid w:val="001E06BE"/>
    <w:rsid w:val="001E2C12"/>
    <w:rsid w:val="001E3208"/>
    <w:rsid w:val="001E4146"/>
    <w:rsid w:val="001E6815"/>
    <w:rsid w:val="001F1C43"/>
    <w:rsid w:val="001F3C8C"/>
    <w:rsid w:val="001F47EC"/>
    <w:rsid w:val="001F6AA0"/>
    <w:rsid w:val="001F707C"/>
    <w:rsid w:val="001F7CF1"/>
    <w:rsid w:val="002002A7"/>
    <w:rsid w:val="00201A2A"/>
    <w:rsid w:val="00201DE4"/>
    <w:rsid w:val="00202517"/>
    <w:rsid w:val="00202874"/>
    <w:rsid w:val="00202AD9"/>
    <w:rsid w:val="0020409B"/>
    <w:rsid w:val="0020528B"/>
    <w:rsid w:val="00205DD7"/>
    <w:rsid w:val="002071D1"/>
    <w:rsid w:val="00213A1A"/>
    <w:rsid w:val="00213DB4"/>
    <w:rsid w:val="002211D4"/>
    <w:rsid w:val="00222B7C"/>
    <w:rsid w:val="00223754"/>
    <w:rsid w:val="002242D6"/>
    <w:rsid w:val="002254F4"/>
    <w:rsid w:val="00225FD4"/>
    <w:rsid w:val="00226153"/>
    <w:rsid w:val="00226393"/>
    <w:rsid w:val="00226504"/>
    <w:rsid w:val="00227004"/>
    <w:rsid w:val="00227113"/>
    <w:rsid w:val="00227D65"/>
    <w:rsid w:val="002301F8"/>
    <w:rsid w:val="002305AE"/>
    <w:rsid w:val="002309F4"/>
    <w:rsid w:val="00231822"/>
    <w:rsid w:val="00231950"/>
    <w:rsid w:val="00231CD2"/>
    <w:rsid w:val="00231DD6"/>
    <w:rsid w:val="00232A64"/>
    <w:rsid w:val="00232E7A"/>
    <w:rsid w:val="00233570"/>
    <w:rsid w:val="00233819"/>
    <w:rsid w:val="00234D42"/>
    <w:rsid w:val="00235495"/>
    <w:rsid w:val="002377CB"/>
    <w:rsid w:val="00241EBA"/>
    <w:rsid w:val="002420D6"/>
    <w:rsid w:val="00242C47"/>
    <w:rsid w:val="0024403D"/>
    <w:rsid w:val="00244BCD"/>
    <w:rsid w:val="00245780"/>
    <w:rsid w:val="002467E0"/>
    <w:rsid w:val="00246A8C"/>
    <w:rsid w:val="00246B6B"/>
    <w:rsid w:val="00246EDC"/>
    <w:rsid w:val="00247C88"/>
    <w:rsid w:val="00250088"/>
    <w:rsid w:val="002503F7"/>
    <w:rsid w:val="0025054F"/>
    <w:rsid w:val="0025168F"/>
    <w:rsid w:val="00253475"/>
    <w:rsid w:val="002534A7"/>
    <w:rsid w:val="002534B6"/>
    <w:rsid w:val="00254978"/>
    <w:rsid w:val="0025589B"/>
    <w:rsid w:val="00261177"/>
    <w:rsid w:val="002628A5"/>
    <w:rsid w:val="00262CC8"/>
    <w:rsid w:val="00263F51"/>
    <w:rsid w:val="00265BA4"/>
    <w:rsid w:val="00266B96"/>
    <w:rsid w:val="00267107"/>
    <w:rsid w:val="00270CAA"/>
    <w:rsid w:val="00271707"/>
    <w:rsid w:val="002727B1"/>
    <w:rsid w:val="0027284C"/>
    <w:rsid w:val="00274E99"/>
    <w:rsid w:val="002779F7"/>
    <w:rsid w:val="00277D74"/>
    <w:rsid w:val="00277DF6"/>
    <w:rsid w:val="00280507"/>
    <w:rsid w:val="002823F0"/>
    <w:rsid w:val="00283F8B"/>
    <w:rsid w:val="00285FA6"/>
    <w:rsid w:val="00291A9C"/>
    <w:rsid w:val="002921FF"/>
    <w:rsid w:val="002955C6"/>
    <w:rsid w:val="00295619"/>
    <w:rsid w:val="00296673"/>
    <w:rsid w:val="002A01A5"/>
    <w:rsid w:val="002A0809"/>
    <w:rsid w:val="002A092B"/>
    <w:rsid w:val="002A0FDE"/>
    <w:rsid w:val="002A1800"/>
    <w:rsid w:val="002A5197"/>
    <w:rsid w:val="002A575F"/>
    <w:rsid w:val="002A5B2A"/>
    <w:rsid w:val="002A64C1"/>
    <w:rsid w:val="002B0F28"/>
    <w:rsid w:val="002B1A46"/>
    <w:rsid w:val="002B2743"/>
    <w:rsid w:val="002B42DE"/>
    <w:rsid w:val="002B6732"/>
    <w:rsid w:val="002B6BEC"/>
    <w:rsid w:val="002B7729"/>
    <w:rsid w:val="002B7A5E"/>
    <w:rsid w:val="002C178C"/>
    <w:rsid w:val="002C19A3"/>
    <w:rsid w:val="002C1B3F"/>
    <w:rsid w:val="002C3A0C"/>
    <w:rsid w:val="002C599C"/>
    <w:rsid w:val="002C5E0F"/>
    <w:rsid w:val="002D13CB"/>
    <w:rsid w:val="002D1B8D"/>
    <w:rsid w:val="002D1BD5"/>
    <w:rsid w:val="002D2802"/>
    <w:rsid w:val="002D2F42"/>
    <w:rsid w:val="002D3B3F"/>
    <w:rsid w:val="002D4A6D"/>
    <w:rsid w:val="002D4B3D"/>
    <w:rsid w:val="002D4F9A"/>
    <w:rsid w:val="002D7470"/>
    <w:rsid w:val="002E1E35"/>
    <w:rsid w:val="002E4FC7"/>
    <w:rsid w:val="002F19C0"/>
    <w:rsid w:val="002F1C47"/>
    <w:rsid w:val="002F3446"/>
    <w:rsid w:val="002F3B8B"/>
    <w:rsid w:val="002F4381"/>
    <w:rsid w:val="002F43B8"/>
    <w:rsid w:val="002F4CCC"/>
    <w:rsid w:val="002F4DB6"/>
    <w:rsid w:val="002F4FC4"/>
    <w:rsid w:val="002F5018"/>
    <w:rsid w:val="002F664F"/>
    <w:rsid w:val="002F6A54"/>
    <w:rsid w:val="00300DCD"/>
    <w:rsid w:val="00300E0A"/>
    <w:rsid w:val="0030341C"/>
    <w:rsid w:val="00303F2E"/>
    <w:rsid w:val="003043B2"/>
    <w:rsid w:val="00304985"/>
    <w:rsid w:val="00304B95"/>
    <w:rsid w:val="00305190"/>
    <w:rsid w:val="003052C8"/>
    <w:rsid w:val="00306793"/>
    <w:rsid w:val="00306E23"/>
    <w:rsid w:val="0030717E"/>
    <w:rsid w:val="00307962"/>
    <w:rsid w:val="00307C62"/>
    <w:rsid w:val="00310029"/>
    <w:rsid w:val="003101AC"/>
    <w:rsid w:val="0031162D"/>
    <w:rsid w:val="00311954"/>
    <w:rsid w:val="00311C40"/>
    <w:rsid w:val="00311EDE"/>
    <w:rsid w:val="00313412"/>
    <w:rsid w:val="00315CC3"/>
    <w:rsid w:val="003160AB"/>
    <w:rsid w:val="00316708"/>
    <w:rsid w:val="00320BAF"/>
    <w:rsid w:val="00321731"/>
    <w:rsid w:val="003226B9"/>
    <w:rsid w:val="00322F27"/>
    <w:rsid w:val="003233DC"/>
    <w:rsid w:val="00324AE3"/>
    <w:rsid w:val="00325280"/>
    <w:rsid w:val="003260D6"/>
    <w:rsid w:val="003308F7"/>
    <w:rsid w:val="003318FC"/>
    <w:rsid w:val="0033280C"/>
    <w:rsid w:val="00332C25"/>
    <w:rsid w:val="00332CFF"/>
    <w:rsid w:val="00332FC8"/>
    <w:rsid w:val="0033352F"/>
    <w:rsid w:val="00333BBD"/>
    <w:rsid w:val="00333CCC"/>
    <w:rsid w:val="00333F1D"/>
    <w:rsid w:val="003346EA"/>
    <w:rsid w:val="0033577C"/>
    <w:rsid w:val="003359AC"/>
    <w:rsid w:val="0033666B"/>
    <w:rsid w:val="00337CC9"/>
    <w:rsid w:val="00337F3A"/>
    <w:rsid w:val="00337FA1"/>
    <w:rsid w:val="0034050B"/>
    <w:rsid w:val="0034050D"/>
    <w:rsid w:val="0034067C"/>
    <w:rsid w:val="00340A6A"/>
    <w:rsid w:val="0034147A"/>
    <w:rsid w:val="00343E55"/>
    <w:rsid w:val="00345000"/>
    <w:rsid w:val="00345094"/>
    <w:rsid w:val="0034566C"/>
    <w:rsid w:val="00347598"/>
    <w:rsid w:val="00352765"/>
    <w:rsid w:val="00353099"/>
    <w:rsid w:val="00353876"/>
    <w:rsid w:val="00355279"/>
    <w:rsid w:val="00356BFC"/>
    <w:rsid w:val="00357445"/>
    <w:rsid w:val="003575B0"/>
    <w:rsid w:val="003602C1"/>
    <w:rsid w:val="0036048C"/>
    <w:rsid w:val="0036066E"/>
    <w:rsid w:val="003608FC"/>
    <w:rsid w:val="00360BC5"/>
    <w:rsid w:val="00361AD2"/>
    <w:rsid w:val="00362183"/>
    <w:rsid w:val="00364208"/>
    <w:rsid w:val="003668CD"/>
    <w:rsid w:val="00366F38"/>
    <w:rsid w:val="003674EC"/>
    <w:rsid w:val="00370F9F"/>
    <w:rsid w:val="003726C2"/>
    <w:rsid w:val="003728BE"/>
    <w:rsid w:val="003728D0"/>
    <w:rsid w:val="00373A44"/>
    <w:rsid w:val="00374559"/>
    <w:rsid w:val="00374E74"/>
    <w:rsid w:val="00375037"/>
    <w:rsid w:val="0037662B"/>
    <w:rsid w:val="00376888"/>
    <w:rsid w:val="003770B8"/>
    <w:rsid w:val="003771E4"/>
    <w:rsid w:val="0038070D"/>
    <w:rsid w:val="003816A3"/>
    <w:rsid w:val="0038374F"/>
    <w:rsid w:val="00384C1F"/>
    <w:rsid w:val="00384CAB"/>
    <w:rsid w:val="00385561"/>
    <w:rsid w:val="0038599A"/>
    <w:rsid w:val="00393527"/>
    <w:rsid w:val="003944D1"/>
    <w:rsid w:val="0039610B"/>
    <w:rsid w:val="00396F6E"/>
    <w:rsid w:val="003972B2"/>
    <w:rsid w:val="003A206D"/>
    <w:rsid w:val="003A217C"/>
    <w:rsid w:val="003A26D6"/>
    <w:rsid w:val="003A2B40"/>
    <w:rsid w:val="003A2DE5"/>
    <w:rsid w:val="003A35A6"/>
    <w:rsid w:val="003A3B11"/>
    <w:rsid w:val="003A5369"/>
    <w:rsid w:val="003A59FE"/>
    <w:rsid w:val="003A6705"/>
    <w:rsid w:val="003A6931"/>
    <w:rsid w:val="003A7B1D"/>
    <w:rsid w:val="003B114E"/>
    <w:rsid w:val="003B161A"/>
    <w:rsid w:val="003B298A"/>
    <w:rsid w:val="003B2B28"/>
    <w:rsid w:val="003B4F35"/>
    <w:rsid w:val="003B5B76"/>
    <w:rsid w:val="003B60AE"/>
    <w:rsid w:val="003B67F6"/>
    <w:rsid w:val="003C10BE"/>
    <w:rsid w:val="003C1FBC"/>
    <w:rsid w:val="003C22DC"/>
    <w:rsid w:val="003C307F"/>
    <w:rsid w:val="003C3474"/>
    <w:rsid w:val="003C393B"/>
    <w:rsid w:val="003C3A1B"/>
    <w:rsid w:val="003C559F"/>
    <w:rsid w:val="003C5F0C"/>
    <w:rsid w:val="003C730C"/>
    <w:rsid w:val="003C76F5"/>
    <w:rsid w:val="003C7B35"/>
    <w:rsid w:val="003D0141"/>
    <w:rsid w:val="003D1B03"/>
    <w:rsid w:val="003D1CF2"/>
    <w:rsid w:val="003D2B8C"/>
    <w:rsid w:val="003D31F2"/>
    <w:rsid w:val="003D40C4"/>
    <w:rsid w:val="003D4E74"/>
    <w:rsid w:val="003D522E"/>
    <w:rsid w:val="003D5395"/>
    <w:rsid w:val="003E0D61"/>
    <w:rsid w:val="003E1FF6"/>
    <w:rsid w:val="003E32B7"/>
    <w:rsid w:val="003E3CBE"/>
    <w:rsid w:val="003E5416"/>
    <w:rsid w:val="003E5B74"/>
    <w:rsid w:val="003E5E5D"/>
    <w:rsid w:val="003E68FD"/>
    <w:rsid w:val="003E6A30"/>
    <w:rsid w:val="003E7569"/>
    <w:rsid w:val="003F000D"/>
    <w:rsid w:val="003F0530"/>
    <w:rsid w:val="003F0EA3"/>
    <w:rsid w:val="003F2331"/>
    <w:rsid w:val="003F6F30"/>
    <w:rsid w:val="004001B2"/>
    <w:rsid w:val="00400C57"/>
    <w:rsid w:val="004024DD"/>
    <w:rsid w:val="0040272C"/>
    <w:rsid w:val="00402D4D"/>
    <w:rsid w:val="00402F99"/>
    <w:rsid w:val="00403606"/>
    <w:rsid w:val="00405815"/>
    <w:rsid w:val="00405D0D"/>
    <w:rsid w:val="0041160D"/>
    <w:rsid w:val="0041291F"/>
    <w:rsid w:val="00413BFF"/>
    <w:rsid w:val="00414B12"/>
    <w:rsid w:val="0041591C"/>
    <w:rsid w:val="00415B69"/>
    <w:rsid w:val="00415E11"/>
    <w:rsid w:val="00416867"/>
    <w:rsid w:val="004200FD"/>
    <w:rsid w:val="00421362"/>
    <w:rsid w:val="00422672"/>
    <w:rsid w:val="0042309E"/>
    <w:rsid w:val="004247AD"/>
    <w:rsid w:val="00424E0F"/>
    <w:rsid w:val="0042541E"/>
    <w:rsid w:val="00425E60"/>
    <w:rsid w:val="004278D7"/>
    <w:rsid w:val="0043084A"/>
    <w:rsid w:val="00431F63"/>
    <w:rsid w:val="004328AA"/>
    <w:rsid w:val="00432F23"/>
    <w:rsid w:val="00432FDD"/>
    <w:rsid w:val="00433344"/>
    <w:rsid w:val="00433C82"/>
    <w:rsid w:val="004342D6"/>
    <w:rsid w:val="00434462"/>
    <w:rsid w:val="004367DC"/>
    <w:rsid w:val="00437926"/>
    <w:rsid w:val="0044252A"/>
    <w:rsid w:val="00443B0A"/>
    <w:rsid w:val="00443B1D"/>
    <w:rsid w:val="00447CD4"/>
    <w:rsid w:val="00450693"/>
    <w:rsid w:val="00450990"/>
    <w:rsid w:val="00450E75"/>
    <w:rsid w:val="004523BE"/>
    <w:rsid w:val="004537A8"/>
    <w:rsid w:val="004545C5"/>
    <w:rsid w:val="004553B9"/>
    <w:rsid w:val="00457E2C"/>
    <w:rsid w:val="00460012"/>
    <w:rsid w:val="00460675"/>
    <w:rsid w:val="00460FF6"/>
    <w:rsid w:val="00461721"/>
    <w:rsid w:val="0046344D"/>
    <w:rsid w:val="004637B1"/>
    <w:rsid w:val="004637EC"/>
    <w:rsid w:val="004653B5"/>
    <w:rsid w:val="004653ED"/>
    <w:rsid w:val="00466B72"/>
    <w:rsid w:val="00470CAF"/>
    <w:rsid w:val="00472A65"/>
    <w:rsid w:val="00472D84"/>
    <w:rsid w:val="004739E9"/>
    <w:rsid w:val="004745EA"/>
    <w:rsid w:val="0047482D"/>
    <w:rsid w:val="0047644B"/>
    <w:rsid w:val="00480297"/>
    <w:rsid w:val="00482F55"/>
    <w:rsid w:val="0048336E"/>
    <w:rsid w:val="0048422B"/>
    <w:rsid w:val="004847BF"/>
    <w:rsid w:val="00484D0E"/>
    <w:rsid w:val="0048624E"/>
    <w:rsid w:val="00486D56"/>
    <w:rsid w:val="0048739E"/>
    <w:rsid w:val="00490E67"/>
    <w:rsid w:val="00492093"/>
    <w:rsid w:val="00492AF8"/>
    <w:rsid w:val="00495C0A"/>
    <w:rsid w:val="00495DB5"/>
    <w:rsid w:val="00495F29"/>
    <w:rsid w:val="00496379"/>
    <w:rsid w:val="004A045B"/>
    <w:rsid w:val="004A25DE"/>
    <w:rsid w:val="004A2988"/>
    <w:rsid w:val="004A31B9"/>
    <w:rsid w:val="004A41D4"/>
    <w:rsid w:val="004A45FC"/>
    <w:rsid w:val="004A65EC"/>
    <w:rsid w:val="004A6F4B"/>
    <w:rsid w:val="004B2518"/>
    <w:rsid w:val="004B2970"/>
    <w:rsid w:val="004B340A"/>
    <w:rsid w:val="004B36F4"/>
    <w:rsid w:val="004B41BE"/>
    <w:rsid w:val="004B45AB"/>
    <w:rsid w:val="004B48F1"/>
    <w:rsid w:val="004B5216"/>
    <w:rsid w:val="004B53BF"/>
    <w:rsid w:val="004B7130"/>
    <w:rsid w:val="004C0AF0"/>
    <w:rsid w:val="004C1848"/>
    <w:rsid w:val="004C2C2E"/>
    <w:rsid w:val="004C36DF"/>
    <w:rsid w:val="004C4EA7"/>
    <w:rsid w:val="004C526C"/>
    <w:rsid w:val="004C56EC"/>
    <w:rsid w:val="004C6009"/>
    <w:rsid w:val="004C6D09"/>
    <w:rsid w:val="004C73E9"/>
    <w:rsid w:val="004C7EA2"/>
    <w:rsid w:val="004C7F58"/>
    <w:rsid w:val="004D56F7"/>
    <w:rsid w:val="004D60BA"/>
    <w:rsid w:val="004D7DAF"/>
    <w:rsid w:val="004E2320"/>
    <w:rsid w:val="004E3B94"/>
    <w:rsid w:val="004E3C91"/>
    <w:rsid w:val="004E76D9"/>
    <w:rsid w:val="004F0EBE"/>
    <w:rsid w:val="004F1D0E"/>
    <w:rsid w:val="004F35CD"/>
    <w:rsid w:val="004F5178"/>
    <w:rsid w:val="004F6113"/>
    <w:rsid w:val="004F69B3"/>
    <w:rsid w:val="004F6CB0"/>
    <w:rsid w:val="005008D1"/>
    <w:rsid w:val="00500E3A"/>
    <w:rsid w:val="00500FDA"/>
    <w:rsid w:val="00501A45"/>
    <w:rsid w:val="00501C7B"/>
    <w:rsid w:val="005023D1"/>
    <w:rsid w:val="00502A28"/>
    <w:rsid w:val="00503D0C"/>
    <w:rsid w:val="00504C11"/>
    <w:rsid w:val="00505350"/>
    <w:rsid w:val="00506FCA"/>
    <w:rsid w:val="005072D1"/>
    <w:rsid w:val="00507EDF"/>
    <w:rsid w:val="00510B68"/>
    <w:rsid w:val="00511F8F"/>
    <w:rsid w:val="00512A35"/>
    <w:rsid w:val="00512A53"/>
    <w:rsid w:val="00512BC1"/>
    <w:rsid w:val="005130C0"/>
    <w:rsid w:val="00513D50"/>
    <w:rsid w:val="00514BA3"/>
    <w:rsid w:val="005153C7"/>
    <w:rsid w:val="00515494"/>
    <w:rsid w:val="005155BD"/>
    <w:rsid w:val="00517594"/>
    <w:rsid w:val="00521004"/>
    <w:rsid w:val="00522093"/>
    <w:rsid w:val="00523640"/>
    <w:rsid w:val="005236F8"/>
    <w:rsid w:val="0052415B"/>
    <w:rsid w:val="005241CA"/>
    <w:rsid w:val="00530743"/>
    <w:rsid w:val="00532300"/>
    <w:rsid w:val="005323DF"/>
    <w:rsid w:val="00532740"/>
    <w:rsid w:val="00533974"/>
    <w:rsid w:val="00533A46"/>
    <w:rsid w:val="0053586A"/>
    <w:rsid w:val="00535BEC"/>
    <w:rsid w:val="00540A73"/>
    <w:rsid w:val="00540A99"/>
    <w:rsid w:val="00540AAD"/>
    <w:rsid w:val="00540B2A"/>
    <w:rsid w:val="0054143B"/>
    <w:rsid w:val="00541BBE"/>
    <w:rsid w:val="005436FE"/>
    <w:rsid w:val="00543A7B"/>
    <w:rsid w:val="005443CD"/>
    <w:rsid w:val="005453DF"/>
    <w:rsid w:val="00546077"/>
    <w:rsid w:val="0054632B"/>
    <w:rsid w:val="00546D2D"/>
    <w:rsid w:val="00546D69"/>
    <w:rsid w:val="00546F2F"/>
    <w:rsid w:val="00547582"/>
    <w:rsid w:val="00552B61"/>
    <w:rsid w:val="00554023"/>
    <w:rsid w:val="00554AC8"/>
    <w:rsid w:val="00555524"/>
    <w:rsid w:val="00555976"/>
    <w:rsid w:val="00555C2F"/>
    <w:rsid w:val="00557132"/>
    <w:rsid w:val="00560708"/>
    <w:rsid w:val="005616DC"/>
    <w:rsid w:val="00562044"/>
    <w:rsid w:val="00562A20"/>
    <w:rsid w:val="00562FB8"/>
    <w:rsid w:val="00563AEF"/>
    <w:rsid w:val="00566BBB"/>
    <w:rsid w:val="00571746"/>
    <w:rsid w:val="005719C4"/>
    <w:rsid w:val="00572AE9"/>
    <w:rsid w:val="00572CB3"/>
    <w:rsid w:val="00572D2E"/>
    <w:rsid w:val="005733E0"/>
    <w:rsid w:val="005744D2"/>
    <w:rsid w:val="0057649F"/>
    <w:rsid w:val="00576993"/>
    <w:rsid w:val="0058144F"/>
    <w:rsid w:val="005819B6"/>
    <w:rsid w:val="00581D69"/>
    <w:rsid w:val="00583806"/>
    <w:rsid w:val="00583F98"/>
    <w:rsid w:val="00584207"/>
    <w:rsid w:val="005846E1"/>
    <w:rsid w:val="00586F02"/>
    <w:rsid w:val="00590D24"/>
    <w:rsid w:val="0059211E"/>
    <w:rsid w:val="00593CF3"/>
    <w:rsid w:val="00594CEB"/>
    <w:rsid w:val="00594F14"/>
    <w:rsid w:val="0059538B"/>
    <w:rsid w:val="00595E08"/>
    <w:rsid w:val="00597FE1"/>
    <w:rsid w:val="005A0624"/>
    <w:rsid w:val="005A4AFA"/>
    <w:rsid w:val="005A4B37"/>
    <w:rsid w:val="005A5350"/>
    <w:rsid w:val="005A543B"/>
    <w:rsid w:val="005B0645"/>
    <w:rsid w:val="005B155B"/>
    <w:rsid w:val="005B2464"/>
    <w:rsid w:val="005B3FA6"/>
    <w:rsid w:val="005B4FE3"/>
    <w:rsid w:val="005B5631"/>
    <w:rsid w:val="005B62CE"/>
    <w:rsid w:val="005B6678"/>
    <w:rsid w:val="005C127C"/>
    <w:rsid w:val="005C1EC4"/>
    <w:rsid w:val="005C2D0E"/>
    <w:rsid w:val="005C389A"/>
    <w:rsid w:val="005C5F1A"/>
    <w:rsid w:val="005C6492"/>
    <w:rsid w:val="005C6C38"/>
    <w:rsid w:val="005C729B"/>
    <w:rsid w:val="005C7855"/>
    <w:rsid w:val="005D3664"/>
    <w:rsid w:val="005D4992"/>
    <w:rsid w:val="005D530B"/>
    <w:rsid w:val="005D5E32"/>
    <w:rsid w:val="005D6923"/>
    <w:rsid w:val="005D7109"/>
    <w:rsid w:val="005E02BA"/>
    <w:rsid w:val="005E0AC8"/>
    <w:rsid w:val="005E0B33"/>
    <w:rsid w:val="005E1E4C"/>
    <w:rsid w:val="005E3738"/>
    <w:rsid w:val="005E3BA2"/>
    <w:rsid w:val="005E3D2E"/>
    <w:rsid w:val="005E417B"/>
    <w:rsid w:val="005E497F"/>
    <w:rsid w:val="005E635A"/>
    <w:rsid w:val="005E6623"/>
    <w:rsid w:val="005E6A0D"/>
    <w:rsid w:val="005F00C4"/>
    <w:rsid w:val="005F1095"/>
    <w:rsid w:val="005F17B8"/>
    <w:rsid w:val="005F1E0B"/>
    <w:rsid w:val="005F2A4B"/>
    <w:rsid w:val="005F3BA5"/>
    <w:rsid w:val="005F50A0"/>
    <w:rsid w:val="005F62CE"/>
    <w:rsid w:val="005F6AA4"/>
    <w:rsid w:val="00604419"/>
    <w:rsid w:val="0060565A"/>
    <w:rsid w:val="0060616E"/>
    <w:rsid w:val="0060646A"/>
    <w:rsid w:val="0060744D"/>
    <w:rsid w:val="00607487"/>
    <w:rsid w:val="006104FF"/>
    <w:rsid w:val="0061074A"/>
    <w:rsid w:val="00610EF1"/>
    <w:rsid w:val="006111A2"/>
    <w:rsid w:val="00611F67"/>
    <w:rsid w:val="006120EE"/>
    <w:rsid w:val="00614AF8"/>
    <w:rsid w:val="00614F60"/>
    <w:rsid w:val="00616E53"/>
    <w:rsid w:val="006175BF"/>
    <w:rsid w:val="00620D94"/>
    <w:rsid w:val="00620FA5"/>
    <w:rsid w:val="00621746"/>
    <w:rsid w:val="00621927"/>
    <w:rsid w:val="0062610F"/>
    <w:rsid w:val="00630285"/>
    <w:rsid w:val="006309EF"/>
    <w:rsid w:val="006311D2"/>
    <w:rsid w:val="00631314"/>
    <w:rsid w:val="00632E91"/>
    <w:rsid w:val="0063460F"/>
    <w:rsid w:val="006349A1"/>
    <w:rsid w:val="00635F8B"/>
    <w:rsid w:val="00636E30"/>
    <w:rsid w:val="00637399"/>
    <w:rsid w:val="00640478"/>
    <w:rsid w:val="006404B8"/>
    <w:rsid w:val="0064204A"/>
    <w:rsid w:val="00642DAA"/>
    <w:rsid w:val="00643091"/>
    <w:rsid w:val="00644665"/>
    <w:rsid w:val="00644A15"/>
    <w:rsid w:val="00645308"/>
    <w:rsid w:val="00645B11"/>
    <w:rsid w:val="006465F0"/>
    <w:rsid w:val="00646644"/>
    <w:rsid w:val="006466BD"/>
    <w:rsid w:val="00646D4E"/>
    <w:rsid w:val="006470A7"/>
    <w:rsid w:val="006476DE"/>
    <w:rsid w:val="00647847"/>
    <w:rsid w:val="006522C1"/>
    <w:rsid w:val="00652FC8"/>
    <w:rsid w:val="006534E0"/>
    <w:rsid w:val="006536DD"/>
    <w:rsid w:val="00654B9D"/>
    <w:rsid w:val="00654FE0"/>
    <w:rsid w:val="00657F32"/>
    <w:rsid w:val="00660D7C"/>
    <w:rsid w:val="00661B4D"/>
    <w:rsid w:val="006620FB"/>
    <w:rsid w:val="006624FC"/>
    <w:rsid w:val="00663C48"/>
    <w:rsid w:val="0066401D"/>
    <w:rsid w:val="00665237"/>
    <w:rsid w:val="0066542A"/>
    <w:rsid w:val="00665748"/>
    <w:rsid w:val="00666201"/>
    <w:rsid w:val="00666730"/>
    <w:rsid w:val="006677EA"/>
    <w:rsid w:val="00667AC3"/>
    <w:rsid w:val="00667E9C"/>
    <w:rsid w:val="006706A2"/>
    <w:rsid w:val="00670851"/>
    <w:rsid w:val="006715EE"/>
    <w:rsid w:val="006730FC"/>
    <w:rsid w:val="00673F39"/>
    <w:rsid w:val="00674B08"/>
    <w:rsid w:val="00676691"/>
    <w:rsid w:val="00683007"/>
    <w:rsid w:val="00683D25"/>
    <w:rsid w:val="006842C5"/>
    <w:rsid w:val="006846BD"/>
    <w:rsid w:val="006850FE"/>
    <w:rsid w:val="00685269"/>
    <w:rsid w:val="00685384"/>
    <w:rsid w:val="00685578"/>
    <w:rsid w:val="00687789"/>
    <w:rsid w:val="006879C8"/>
    <w:rsid w:val="0069135F"/>
    <w:rsid w:val="0069163D"/>
    <w:rsid w:val="00692D55"/>
    <w:rsid w:val="00692D56"/>
    <w:rsid w:val="00694B41"/>
    <w:rsid w:val="0069625F"/>
    <w:rsid w:val="00696438"/>
    <w:rsid w:val="00696F96"/>
    <w:rsid w:val="00697931"/>
    <w:rsid w:val="006A04E4"/>
    <w:rsid w:val="006A0AAD"/>
    <w:rsid w:val="006A0B8C"/>
    <w:rsid w:val="006A173A"/>
    <w:rsid w:val="006A256D"/>
    <w:rsid w:val="006A269E"/>
    <w:rsid w:val="006A28E3"/>
    <w:rsid w:val="006A2BEB"/>
    <w:rsid w:val="006A3734"/>
    <w:rsid w:val="006A3B1A"/>
    <w:rsid w:val="006A5900"/>
    <w:rsid w:val="006A68F7"/>
    <w:rsid w:val="006A69CF"/>
    <w:rsid w:val="006A7FAB"/>
    <w:rsid w:val="006B0A68"/>
    <w:rsid w:val="006B0F4E"/>
    <w:rsid w:val="006B1405"/>
    <w:rsid w:val="006B15F4"/>
    <w:rsid w:val="006B29AA"/>
    <w:rsid w:val="006B2B51"/>
    <w:rsid w:val="006B2F9B"/>
    <w:rsid w:val="006B368A"/>
    <w:rsid w:val="006B64E2"/>
    <w:rsid w:val="006B6EAC"/>
    <w:rsid w:val="006B70FD"/>
    <w:rsid w:val="006B7918"/>
    <w:rsid w:val="006C038E"/>
    <w:rsid w:val="006C0685"/>
    <w:rsid w:val="006C0F9E"/>
    <w:rsid w:val="006C2C58"/>
    <w:rsid w:val="006C479A"/>
    <w:rsid w:val="006C4FB8"/>
    <w:rsid w:val="006C4FC6"/>
    <w:rsid w:val="006C64C6"/>
    <w:rsid w:val="006C6C35"/>
    <w:rsid w:val="006D02CA"/>
    <w:rsid w:val="006D0631"/>
    <w:rsid w:val="006D1124"/>
    <w:rsid w:val="006D176C"/>
    <w:rsid w:val="006D1FCA"/>
    <w:rsid w:val="006D31F2"/>
    <w:rsid w:val="006D410B"/>
    <w:rsid w:val="006D5289"/>
    <w:rsid w:val="006D5634"/>
    <w:rsid w:val="006D62D4"/>
    <w:rsid w:val="006D7A40"/>
    <w:rsid w:val="006E047F"/>
    <w:rsid w:val="006E181F"/>
    <w:rsid w:val="006E2312"/>
    <w:rsid w:val="006E2806"/>
    <w:rsid w:val="006E2B45"/>
    <w:rsid w:val="006E36B6"/>
    <w:rsid w:val="006E37A6"/>
    <w:rsid w:val="006E3D0C"/>
    <w:rsid w:val="006E4234"/>
    <w:rsid w:val="006E44EF"/>
    <w:rsid w:val="006E4C08"/>
    <w:rsid w:val="006E6335"/>
    <w:rsid w:val="006E66B3"/>
    <w:rsid w:val="006F0369"/>
    <w:rsid w:val="006F0AF8"/>
    <w:rsid w:val="006F1B66"/>
    <w:rsid w:val="006F2072"/>
    <w:rsid w:val="006F2433"/>
    <w:rsid w:val="006F348D"/>
    <w:rsid w:val="006F3869"/>
    <w:rsid w:val="006F4881"/>
    <w:rsid w:val="006F5948"/>
    <w:rsid w:val="006F59D6"/>
    <w:rsid w:val="0070004F"/>
    <w:rsid w:val="00701734"/>
    <w:rsid w:val="007017E9"/>
    <w:rsid w:val="007024A3"/>
    <w:rsid w:val="00702EB8"/>
    <w:rsid w:val="00703378"/>
    <w:rsid w:val="007046A6"/>
    <w:rsid w:val="00704CEA"/>
    <w:rsid w:val="007061B1"/>
    <w:rsid w:val="0070662E"/>
    <w:rsid w:val="007074C2"/>
    <w:rsid w:val="00710FD5"/>
    <w:rsid w:val="00713C73"/>
    <w:rsid w:val="00713D33"/>
    <w:rsid w:val="00713D7E"/>
    <w:rsid w:val="00714060"/>
    <w:rsid w:val="0071619F"/>
    <w:rsid w:val="00717728"/>
    <w:rsid w:val="00717F6B"/>
    <w:rsid w:val="007208EE"/>
    <w:rsid w:val="00721FE4"/>
    <w:rsid w:val="0072238E"/>
    <w:rsid w:val="007238FB"/>
    <w:rsid w:val="00725997"/>
    <w:rsid w:val="007259F4"/>
    <w:rsid w:val="00725A64"/>
    <w:rsid w:val="00726D9C"/>
    <w:rsid w:val="007278EE"/>
    <w:rsid w:val="00727D31"/>
    <w:rsid w:val="00727DCA"/>
    <w:rsid w:val="00730D1A"/>
    <w:rsid w:val="00730F9D"/>
    <w:rsid w:val="0073150A"/>
    <w:rsid w:val="00733BBF"/>
    <w:rsid w:val="00734A3B"/>
    <w:rsid w:val="00735FE6"/>
    <w:rsid w:val="00740AA9"/>
    <w:rsid w:val="00741C86"/>
    <w:rsid w:val="00743824"/>
    <w:rsid w:val="00745E94"/>
    <w:rsid w:val="00745EE2"/>
    <w:rsid w:val="00747416"/>
    <w:rsid w:val="007478C3"/>
    <w:rsid w:val="007501ED"/>
    <w:rsid w:val="00751A29"/>
    <w:rsid w:val="00751C08"/>
    <w:rsid w:val="0075323F"/>
    <w:rsid w:val="0075375F"/>
    <w:rsid w:val="00754D30"/>
    <w:rsid w:val="00755939"/>
    <w:rsid w:val="00756AC0"/>
    <w:rsid w:val="007610E3"/>
    <w:rsid w:val="00762198"/>
    <w:rsid w:val="00763134"/>
    <w:rsid w:val="007631D7"/>
    <w:rsid w:val="00765403"/>
    <w:rsid w:val="007656A3"/>
    <w:rsid w:val="0076799C"/>
    <w:rsid w:val="00767BF0"/>
    <w:rsid w:val="0077114B"/>
    <w:rsid w:val="00772468"/>
    <w:rsid w:val="00773116"/>
    <w:rsid w:val="00773B63"/>
    <w:rsid w:val="00773C3D"/>
    <w:rsid w:val="0077406A"/>
    <w:rsid w:val="00774A88"/>
    <w:rsid w:val="00775509"/>
    <w:rsid w:val="00776BAA"/>
    <w:rsid w:val="00776D45"/>
    <w:rsid w:val="0078086F"/>
    <w:rsid w:val="007808E2"/>
    <w:rsid w:val="00780E7E"/>
    <w:rsid w:val="00784330"/>
    <w:rsid w:val="0078464A"/>
    <w:rsid w:val="0078466F"/>
    <w:rsid w:val="00786973"/>
    <w:rsid w:val="00790E41"/>
    <w:rsid w:val="00790F5E"/>
    <w:rsid w:val="00791E13"/>
    <w:rsid w:val="00794001"/>
    <w:rsid w:val="00796A4A"/>
    <w:rsid w:val="00796F5B"/>
    <w:rsid w:val="007A1519"/>
    <w:rsid w:val="007A16D2"/>
    <w:rsid w:val="007A1A69"/>
    <w:rsid w:val="007A3D05"/>
    <w:rsid w:val="007A400A"/>
    <w:rsid w:val="007A461E"/>
    <w:rsid w:val="007A50DA"/>
    <w:rsid w:val="007A5ACE"/>
    <w:rsid w:val="007A5C0A"/>
    <w:rsid w:val="007A750C"/>
    <w:rsid w:val="007A7744"/>
    <w:rsid w:val="007A7EF3"/>
    <w:rsid w:val="007B056D"/>
    <w:rsid w:val="007B0709"/>
    <w:rsid w:val="007B0828"/>
    <w:rsid w:val="007B2326"/>
    <w:rsid w:val="007B4033"/>
    <w:rsid w:val="007B4AB1"/>
    <w:rsid w:val="007B4D12"/>
    <w:rsid w:val="007B6166"/>
    <w:rsid w:val="007B632D"/>
    <w:rsid w:val="007B7D09"/>
    <w:rsid w:val="007C02A9"/>
    <w:rsid w:val="007C0899"/>
    <w:rsid w:val="007C0F8B"/>
    <w:rsid w:val="007C34B5"/>
    <w:rsid w:val="007C41C9"/>
    <w:rsid w:val="007C4FD6"/>
    <w:rsid w:val="007C5103"/>
    <w:rsid w:val="007C53D3"/>
    <w:rsid w:val="007C5A00"/>
    <w:rsid w:val="007C6A24"/>
    <w:rsid w:val="007D0C8B"/>
    <w:rsid w:val="007D0F29"/>
    <w:rsid w:val="007D1EB4"/>
    <w:rsid w:val="007D3758"/>
    <w:rsid w:val="007D3EB1"/>
    <w:rsid w:val="007D3F3B"/>
    <w:rsid w:val="007D4E85"/>
    <w:rsid w:val="007D5188"/>
    <w:rsid w:val="007D610C"/>
    <w:rsid w:val="007D63F7"/>
    <w:rsid w:val="007D66D2"/>
    <w:rsid w:val="007D6A7A"/>
    <w:rsid w:val="007D7D3A"/>
    <w:rsid w:val="007E0359"/>
    <w:rsid w:val="007E0760"/>
    <w:rsid w:val="007E1AE2"/>
    <w:rsid w:val="007E22EA"/>
    <w:rsid w:val="007E282E"/>
    <w:rsid w:val="007E49F9"/>
    <w:rsid w:val="007E4B9B"/>
    <w:rsid w:val="007E4FCF"/>
    <w:rsid w:val="007E5527"/>
    <w:rsid w:val="007E6084"/>
    <w:rsid w:val="007E7A66"/>
    <w:rsid w:val="007E7CA3"/>
    <w:rsid w:val="007F1599"/>
    <w:rsid w:val="007F224B"/>
    <w:rsid w:val="007F3DE9"/>
    <w:rsid w:val="007F5DC1"/>
    <w:rsid w:val="00800EE9"/>
    <w:rsid w:val="00801FCB"/>
    <w:rsid w:val="00804051"/>
    <w:rsid w:val="008040FE"/>
    <w:rsid w:val="00804DBE"/>
    <w:rsid w:val="008057A1"/>
    <w:rsid w:val="00806145"/>
    <w:rsid w:val="008061F7"/>
    <w:rsid w:val="00806A33"/>
    <w:rsid w:val="00806D9A"/>
    <w:rsid w:val="00807956"/>
    <w:rsid w:val="00807DF1"/>
    <w:rsid w:val="00811684"/>
    <w:rsid w:val="008125A6"/>
    <w:rsid w:val="00812E1C"/>
    <w:rsid w:val="00813C33"/>
    <w:rsid w:val="00814F65"/>
    <w:rsid w:val="008150D0"/>
    <w:rsid w:val="00815525"/>
    <w:rsid w:val="00815835"/>
    <w:rsid w:val="00817BBD"/>
    <w:rsid w:val="00820136"/>
    <w:rsid w:val="00821E03"/>
    <w:rsid w:val="00826955"/>
    <w:rsid w:val="00830475"/>
    <w:rsid w:val="00830D89"/>
    <w:rsid w:val="008311F9"/>
    <w:rsid w:val="00831C96"/>
    <w:rsid w:val="00831D53"/>
    <w:rsid w:val="008323D5"/>
    <w:rsid w:val="00835CC9"/>
    <w:rsid w:val="00835D26"/>
    <w:rsid w:val="008371EF"/>
    <w:rsid w:val="00837F40"/>
    <w:rsid w:val="00840F09"/>
    <w:rsid w:val="00841504"/>
    <w:rsid w:val="00841568"/>
    <w:rsid w:val="00841E25"/>
    <w:rsid w:val="0084251D"/>
    <w:rsid w:val="008425A7"/>
    <w:rsid w:val="00842BD0"/>
    <w:rsid w:val="008434E2"/>
    <w:rsid w:val="0084360C"/>
    <w:rsid w:val="00846158"/>
    <w:rsid w:val="008467B1"/>
    <w:rsid w:val="008469F5"/>
    <w:rsid w:val="00846BFC"/>
    <w:rsid w:val="008514EB"/>
    <w:rsid w:val="00852353"/>
    <w:rsid w:val="00854360"/>
    <w:rsid w:val="008549F6"/>
    <w:rsid w:val="008563A9"/>
    <w:rsid w:val="00856EAD"/>
    <w:rsid w:val="00857158"/>
    <w:rsid w:val="00857BE6"/>
    <w:rsid w:val="00860ECF"/>
    <w:rsid w:val="00861356"/>
    <w:rsid w:val="008615EE"/>
    <w:rsid w:val="00863052"/>
    <w:rsid w:val="008634C0"/>
    <w:rsid w:val="00864D5F"/>
    <w:rsid w:val="00866182"/>
    <w:rsid w:val="0086655E"/>
    <w:rsid w:val="008707D6"/>
    <w:rsid w:val="00870D94"/>
    <w:rsid w:val="008719B8"/>
    <w:rsid w:val="00871AED"/>
    <w:rsid w:val="00873CE5"/>
    <w:rsid w:val="00874704"/>
    <w:rsid w:val="00874E98"/>
    <w:rsid w:val="00874FA9"/>
    <w:rsid w:val="008752D4"/>
    <w:rsid w:val="008754C3"/>
    <w:rsid w:val="00875DD2"/>
    <w:rsid w:val="008772DB"/>
    <w:rsid w:val="008808A8"/>
    <w:rsid w:val="00880948"/>
    <w:rsid w:val="00880FBE"/>
    <w:rsid w:val="00881AAE"/>
    <w:rsid w:val="00881B95"/>
    <w:rsid w:val="00882332"/>
    <w:rsid w:val="00882594"/>
    <w:rsid w:val="008825C1"/>
    <w:rsid w:val="00882E54"/>
    <w:rsid w:val="0088489E"/>
    <w:rsid w:val="008851F8"/>
    <w:rsid w:val="008852F8"/>
    <w:rsid w:val="00885DF8"/>
    <w:rsid w:val="00886E27"/>
    <w:rsid w:val="00886F73"/>
    <w:rsid w:val="0089276E"/>
    <w:rsid w:val="00893E8D"/>
    <w:rsid w:val="00894084"/>
    <w:rsid w:val="008A07F0"/>
    <w:rsid w:val="008A48FD"/>
    <w:rsid w:val="008A61E1"/>
    <w:rsid w:val="008B1AD3"/>
    <w:rsid w:val="008B26E2"/>
    <w:rsid w:val="008B310B"/>
    <w:rsid w:val="008B486A"/>
    <w:rsid w:val="008B49ED"/>
    <w:rsid w:val="008C06F0"/>
    <w:rsid w:val="008C1E43"/>
    <w:rsid w:val="008C2F8E"/>
    <w:rsid w:val="008C4222"/>
    <w:rsid w:val="008C456A"/>
    <w:rsid w:val="008C5444"/>
    <w:rsid w:val="008C68CA"/>
    <w:rsid w:val="008C7779"/>
    <w:rsid w:val="008C7BA4"/>
    <w:rsid w:val="008D0936"/>
    <w:rsid w:val="008D1441"/>
    <w:rsid w:val="008D2883"/>
    <w:rsid w:val="008D56CF"/>
    <w:rsid w:val="008D58EE"/>
    <w:rsid w:val="008D6CBB"/>
    <w:rsid w:val="008D7AC6"/>
    <w:rsid w:val="008E0D58"/>
    <w:rsid w:val="008E203C"/>
    <w:rsid w:val="008E3863"/>
    <w:rsid w:val="008E3873"/>
    <w:rsid w:val="008E4229"/>
    <w:rsid w:val="008E56FE"/>
    <w:rsid w:val="008E622E"/>
    <w:rsid w:val="008E67BA"/>
    <w:rsid w:val="008E6803"/>
    <w:rsid w:val="008E7003"/>
    <w:rsid w:val="008E7AEA"/>
    <w:rsid w:val="008F0F5B"/>
    <w:rsid w:val="008F1989"/>
    <w:rsid w:val="008F2351"/>
    <w:rsid w:val="008F4C0E"/>
    <w:rsid w:val="008F6D26"/>
    <w:rsid w:val="00900295"/>
    <w:rsid w:val="00901146"/>
    <w:rsid w:val="00903853"/>
    <w:rsid w:val="0090387D"/>
    <w:rsid w:val="00904883"/>
    <w:rsid w:val="009055D9"/>
    <w:rsid w:val="00905721"/>
    <w:rsid w:val="00905802"/>
    <w:rsid w:val="00906D1F"/>
    <w:rsid w:val="00907132"/>
    <w:rsid w:val="0091015B"/>
    <w:rsid w:val="009131CE"/>
    <w:rsid w:val="00916B69"/>
    <w:rsid w:val="00916E41"/>
    <w:rsid w:val="00917081"/>
    <w:rsid w:val="00920C75"/>
    <w:rsid w:val="00925C37"/>
    <w:rsid w:val="009267D5"/>
    <w:rsid w:val="00927CFA"/>
    <w:rsid w:val="00931481"/>
    <w:rsid w:val="00931514"/>
    <w:rsid w:val="0093243B"/>
    <w:rsid w:val="00933E9D"/>
    <w:rsid w:val="00933EF9"/>
    <w:rsid w:val="009345CD"/>
    <w:rsid w:val="00934F40"/>
    <w:rsid w:val="00935AFF"/>
    <w:rsid w:val="00935F9E"/>
    <w:rsid w:val="00941024"/>
    <w:rsid w:val="00941D13"/>
    <w:rsid w:val="009429D1"/>
    <w:rsid w:val="009461BF"/>
    <w:rsid w:val="0094752C"/>
    <w:rsid w:val="009503FE"/>
    <w:rsid w:val="00950B9B"/>
    <w:rsid w:val="00950D1B"/>
    <w:rsid w:val="0095141F"/>
    <w:rsid w:val="00952D3F"/>
    <w:rsid w:val="00954A40"/>
    <w:rsid w:val="00956F82"/>
    <w:rsid w:val="00960A43"/>
    <w:rsid w:val="00961D2C"/>
    <w:rsid w:val="00962F01"/>
    <w:rsid w:val="00964999"/>
    <w:rsid w:val="00965D6C"/>
    <w:rsid w:val="00965F90"/>
    <w:rsid w:val="009667FE"/>
    <w:rsid w:val="00970CEA"/>
    <w:rsid w:val="00970F94"/>
    <w:rsid w:val="0097130E"/>
    <w:rsid w:val="0097152D"/>
    <w:rsid w:val="00972D8A"/>
    <w:rsid w:val="00974E0D"/>
    <w:rsid w:val="00974EBB"/>
    <w:rsid w:val="00975EB9"/>
    <w:rsid w:val="00977DD2"/>
    <w:rsid w:val="0098148E"/>
    <w:rsid w:val="009818FB"/>
    <w:rsid w:val="009838B5"/>
    <w:rsid w:val="00983CBC"/>
    <w:rsid w:val="009850DD"/>
    <w:rsid w:val="009856DF"/>
    <w:rsid w:val="0098739B"/>
    <w:rsid w:val="00990009"/>
    <w:rsid w:val="00991445"/>
    <w:rsid w:val="00991972"/>
    <w:rsid w:val="00991EFD"/>
    <w:rsid w:val="00993DD6"/>
    <w:rsid w:val="009969CE"/>
    <w:rsid w:val="00996E61"/>
    <w:rsid w:val="00997ADF"/>
    <w:rsid w:val="009A03BA"/>
    <w:rsid w:val="009A160E"/>
    <w:rsid w:val="009A1BA3"/>
    <w:rsid w:val="009A1DF7"/>
    <w:rsid w:val="009A40E0"/>
    <w:rsid w:val="009A744E"/>
    <w:rsid w:val="009B0C39"/>
    <w:rsid w:val="009B2922"/>
    <w:rsid w:val="009B2B39"/>
    <w:rsid w:val="009B3574"/>
    <w:rsid w:val="009B4000"/>
    <w:rsid w:val="009B5C49"/>
    <w:rsid w:val="009B76D3"/>
    <w:rsid w:val="009C0E4A"/>
    <w:rsid w:val="009C1028"/>
    <w:rsid w:val="009C24B2"/>
    <w:rsid w:val="009C2CD3"/>
    <w:rsid w:val="009C346A"/>
    <w:rsid w:val="009C7006"/>
    <w:rsid w:val="009D13ED"/>
    <w:rsid w:val="009D317A"/>
    <w:rsid w:val="009D3998"/>
    <w:rsid w:val="009D61F1"/>
    <w:rsid w:val="009D7AD3"/>
    <w:rsid w:val="009D7C82"/>
    <w:rsid w:val="009E014F"/>
    <w:rsid w:val="009E026C"/>
    <w:rsid w:val="009E050D"/>
    <w:rsid w:val="009E26EF"/>
    <w:rsid w:val="009F03A6"/>
    <w:rsid w:val="009F08C4"/>
    <w:rsid w:val="009F0F5C"/>
    <w:rsid w:val="009F1219"/>
    <w:rsid w:val="009F2106"/>
    <w:rsid w:val="009F54FE"/>
    <w:rsid w:val="009F6D53"/>
    <w:rsid w:val="009F720F"/>
    <w:rsid w:val="009F7C59"/>
    <w:rsid w:val="00A02564"/>
    <w:rsid w:val="00A03931"/>
    <w:rsid w:val="00A039F9"/>
    <w:rsid w:val="00A03DFE"/>
    <w:rsid w:val="00A04D1C"/>
    <w:rsid w:val="00A05C23"/>
    <w:rsid w:val="00A05E15"/>
    <w:rsid w:val="00A0637F"/>
    <w:rsid w:val="00A073E8"/>
    <w:rsid w:val="00A077F1"/>
    <w:rsid w:val="00A07F57"/>
    <w:rsid w:val="00A10C0B"/>
    <w:rsid w:val="00A113FA"/>
    <w:rsid w:val="00A12164"/>
    <w:rsid w:val="00A13057"/>
    <w:rsid w:val="00A13EB4"/>
    <w:rsid w:val="00A161BD"/>
    <w:rsid w:val="00A16F42"/>
    <w:rsid w:val="00A1710C"/>
    <w:rsid w:val="00A21010"/>
    <w:rsid w:val="00A23931"/>
    <w:rsid w:val="00A23CAC"/>
    <w:rsid w:val="00A23F59"/>
    <w:rsid w:val="00A26CB3"/>
    <w:rsid w:val="00A30042"/>
    <w:rsid w:val="00A3040C"/>
    <w:rsid w:val="00A30569"/>
    <w:rsid w:val="00A337B5"/>
    <w:rsid w:val="00A34215"/>
    <w:rsid w:val="00A34626"/>
    <w:rsid w:val="00A35D31"/>
    <w:rsid w:val="00A3600C"/>
    <w:rsid w:val="00A36538"/>
    <w:rsid w:val="00A36FAE"/>
    <w:rsid w:val="00A3706C"/>
    <w:rsid w:val="00A40169"/>
    <w:rsid w:val="00A40248"/>
    <w:rsid w:val="00A40670"/>
    <w:rsid w:val="00A41527"/>
    <w:rsid w:val="00A42E81"/>
    <w:rsid w:val="00A438E6"/>
    <w:rsid w:val="00A450DD"/>
    <w:rsid w:val="00A472D1"/>
    <w:rsid w:val="00A47C92"/>
    <w:rsid w:val="00A47DE2"/>
    <w:rsid w:val="00A50AFF"/>
    <w:rsid w:val="00A52B7C"/>
    <w:rsid w:val="00A53252"/>
    <w:rsid w:val="00A54520"/>
    <w:rsid w:val="00A54BD5"/>
    <w:rsid w:val="00A57069"/>
    <w:rsid w:val="00A60401"/>
    <w:rsid w:val="00A60863"/>
    <w:rsid w:val="00A60DA7"/>
    <w:rsid w:val="00A61C21"/>
    <w:rsid w:val="00A63034"/>
    <w:rsid w:val="00A63BCA"/>
    <w:rsid w:val="00A63F00"/>
    <w:rsid w:val="00A64488"/>
    <w:rsid w:val="00A650F1"/>
    <w:rsid w:val="00A65294"/>
    <w:rsid w:val="00A65320"/>
    <w:rsid w:val="00A654CD"/>
    <w:rsid w:val="00A65AB1"/>
    <w:rsid w:val="00A661EB"/>
    <w:rsid w:val="00A66357"/>
    <w:rsid w:val="00A6678F"/>
    <w:rsid w:val="00A70BD1"/>
    <w:rsid w:val="00A70F41"/>
    <w:rsid w:val="00A71BDA"/>
    <w:rsid w:val="00A72352"/>
    <w:rsid w:val="00A723D5"/>
    <w:rsid w:val="00A74F7D"/>
    <w:rsid w:val="00A7659A"/>
    <w:rsid w:val="00A769C0"/>
    <w:rsid w:val="00A7736A"/>
    <w:rsid w:val="00A80A35"/>
    <w:rsid w:val="00A80F93"/>
    <w:rsid w:val="00A81681"/>
    <w:rsid w:val="00A81EF4"/>
    <w:rsid w:val="00A821B6"/>
    <w:rsid w:val="00A82935"/>
    <w:rsid w:val="00A8369E"/>
    <w:rsid w:val="00A8454B"/>
    <w:rsid w:val="00A84870"/>
    <w:rsid w:val="00A84AAC"/>
    <w:rsid w:val="00A84DA1"/>
    <w:rsid w:val="00A855DB"/>
    <w:rsid w:val="00A8563C"/>
    <w:rsid w:val="00A8755B"/>
    <w:rsid w:val="00A87C36"/>
    <w:rsid w:val="00A902CC"/>
    <w:rsid w:val="00A90E61"/>
    <w:rsid w:val="00A90E73"/>
    <w:rsid w:val="00A9121B"/>
    <w:rsid w:val="00A91E9C"/>
    <w:rsid w:val="00A93951"/>
    <w:rsid w:val="00A93AD9"/>
    <w:rsid w:val="00A9422B"/>
    <w:rsid w:val="00A95387"/>
    <w:rsid w:val="00A95579"/>
    <w:rsid w:val="00A96671"/>
    <w:rsid w:val="00A971D2"/>
    <w:rsid w:val="00AA110D"/>
    <w:rsid w:val="00AA1154"/>
    <w:rsid w:val="00AA1BDC"/>
    <w:rsid w:val="00AA2283"/>
    <w:rsid w:val="00AA274C"/>
    <w:rsid w:val="00AA5F4E"/>
    <w:rsid w:val="00AA5F69"/>
    <w:rsid w:val="00AB0B3B"/>
    <w:rsid w:val="00AB0DE4"/>
    <w:rsid w:val="00AB1AD9"/>
    <w:rsid w:val="00AB4C92"/>
    <w:rsid w:val="00AB5CBA"/>
    <w:rsid w:val="00AB6AB5"/>
    <w:rsid w:val="00AC0423"/>
    <w:rsid w:val="00AC24B6"/>
    <w:rsid w:val="00AC2FD9"/>
    <w:rsid w:val="00AC35F2"/>
    <w:rsid w:val="00AC41D3"/>
    <w:rsid w:val="00AC488A"/>
    <w:rsid w:val="00AC529E"/>
    <w:rsid w:val="00AC541D"/>
    <w:rsid w:val="00AC613F"/>
    <w:rsid w:val="00AC7456"/>
    <w:rsid w:val="00AC762E"/>
    <w:rsid w:val="00AD248B"/>
    <w:rsid w:val="00AD26F9"/>
    <w:rsid w:val="00AD3974"/>
    <w:rsid w:val="00AD46A5"/>
    <w:rsid w:val="00AD46CF"/>
    <w:rsid w:val="00AD5EE2"/>
    <w:rsid w:val="00AD77AD"/>
    <w:rsid w:val="00AD7D54"/>
    <w:rsid w:val="00AD7DBE"/>
    <w:rsid w:val="00AE1ED1"/>
    <w:rsid w:val="00AE24BF"/>
    <w:rsid w:val="00AE3C94"/>
    <w:rsid w:val="00AE47AA"/>
    <w:rsid w:val="00AE541D"/>
    <w:rsid w:val="00AE7157"/>
    <w:rsid w:val="00AF0154"/>
    <w:rsid w:val="00AF0C86"/>
    <w:rsid w:val="00AF1D8A"/>
    <w:rsid w:val="00AF58DC"/>
    <w:rsid w:val="00AF68F2"/>
    <w:rsid w:val="00B0058E"/>
    <w:rsid w:val="00B012C3"/>
    <w:rsid w:val="00B0198E"/>
    <w:rsid w:val="00B01FCA"/>
    <w:rsid w:val="00B02E3C"/>
    <w:rsid w:val="00B02F41"/>
    <w:rsid w:val="00B03320"/>
    <w:rsid w:val="00B04295"/>
    <w:rsid w:val="00B12923"/>
    <w:rsid w:val="00B132FA"/>
    <w:rsid w:val="00B16EC9"/>
    <w:rsid w:val="00B22210"/>
    <w:rsid w:val="00B22FD8"/>
    <w:rsid w:val="00B23036"/>
    <w:rsid w:val="00B23AD2"/>
    <w:rsid w:val="00B2459A"/>
    <w:rsid w:val="00B26677"/>
    <w:rsid w:val="00B26D8E"/>
    <w:rsid w:val="00B27E5F"/>
    <w:rsid w:val="00B306CD"/>
    <w:rsid w:val="00B31637"/>
    <w:rsid w:val="00B3254E"/>
    <w:rsid w:val="00B327B2"/>
    <w:rsid w:val="00B3554F"/>
    <w:rsid w:val="00B355B2"/>
    <w:rsid w:val="00B35F03"/>
    <w:rsid w:val="00B367AA"/>
    <w:rsid w:val="00B37410"/>
    <w:rsid w:val="00B37746"/>
    <w:rsid w:val="00B37ED4"/>
    <w:rsid w:val="00B4021A"/>
    <w:rsid w:val="00B425BD"/>
    <w:rsid w:val="00B42FF2"/>
    <w:rsid w:val="00B44CFE"/>
    <w:rsid w:val="00B457DE"/>
    <w:rsid w:val="00B45EE7"/>
    <w:rsid w:val="00B4670B"/>
    <w:rsid w:val="00B47162"/>
    <w:rsid w:val="00B479FE"/>
    <w:rsid w:val="00B509C7"/>
    <w:rsid w:val="00B53D62"/>
    <w:rsid w:val="00B540E6"/>
    <w:rsid w:val="00B541D8"/>
    <w:rsid w:val="00B54BB1"/>
    <w:rsid w:val="00B55929"/>
    <w:rsid w:val="00B55CCC"/>
    <w:rsid w:val="00B55FD4"/>
    <w:rsid w:val="00B56162"/>
    <w:rsid w:val="00B5715B"/>
    <w:rsid w:val="00B60E90"/>
    <w:rsid w:val="00B61A6B"/>
    <w:rsid w:val="00B628EA"/>
    <w:rsid w:val="00B62F3A"/>
    <w:rsid w:val="00B63890"/>
    <w:rsid w:val="00B64BE0"/>
    <w:rsid w:val="00B671EC"/>
    <w:rsid w:val="00B707A8"/>
    <w:rsid w:val="00B72551"/>
    <w:rsid w:val="00B726AF"/>
    <w:rsid w:val="00B72E29"/>
    <w:rsid w:val="00B730AC"/>
    <w:rsid w:val="00B73A46"/>
    <w:rsid w:val="00B73AA8"/>
    <w:rsid w:val="00B73CC9"/>
    <w:rsid w:val="00B74450"/>
    <w:rsid w:val="00B77346"/>
    <w:rsid w:val="00B77B9D"/>
    <w:rsid w:val="00B80D91"/>
    <w:rsid w:val="00B80DF4"/>
    <w:rsid w:val="00B828DA"/>
    <w:rsid w:val="00B82A2E"/>
    <w:rsid w:val="00B82DF2"/>
    <w:rsid w:val="00B82F41"/>
    <w:rsid w:val="00B833C6"/>
    <w:rsid w:val="00B8357A"/>
    <w:rsid w:val="00B83F25"/>
    <w:rsid w:val="00B840B9"/>
    <w:rsid w:val="00B84345"/>
    <w:rsid w:val="00B85467"/>
    <w:rsid w:val="00B85CF9"/>
    <w:rsid w:val="00B867B9"/>
    <w:rsid w:val="00B87EAE"/>
    <w:rsid w:val="00B90C97"/>
    <w:rsid w:val="00B9133B"/>
    <w:rsid w:val="00B9221C"/>
    <w:rsid w:val="00B92616"/>
    <w:rsid w:val="00B92B1F"/>
    <w:rsid w:val="00B93084"/>
    <w:rsid w:val="00B937D0"/>
    <w:rsid w:val="00B93C75"/>
    <w:rsid w:val="00B93F17"/>
    <w:rsid w:val="00B94699"/>
    <w:rsid w:val="00B9493D"/>
    <w:rsid w:val="00B95B77"/>
    <w:rsid w:val="00B969B4"/>
    <w:rsid w:val="00B97888"/>
    <w:rsid w:val="00B97D69"/>
    <w:rsid w:val="00BA093C"/>
    <w:rsid w:val="00BA099B"/>
    <w:rsid w:val="00BA1BB7"/>
    <w:rsid w:val="00BA1DBB"/>
    <w:rsid w:val="00BA23D4"/>
    <w:rsid w:val="00BA2E82"/>
    <w:rsid w:val="00BA30F3"/>
    <w:rsid w:val="00BA3D45"/>
    <w:rsid w:val="00BA423A"/>
    <w:rsid w:val="00BA49F0"/>
    <w:rsid w:val="00BA4B42"/>
    <w:rsid w:val="00BA62E1"/>
    <w:rsid w:val="00BB077A"/>
    <w:rsid w:val="00BB1260"/>
    <w:rsid w:val="00BB21E2"/>
    <w:rsid w:val="00BB2276"/>
    <w:rsid w:val="00BB43E1"/>
    <w:rsid w:val="00BB6878"/>
    <w:rsid w:val="00BC1182"/>
    <w:rsid w:val="00BC1ECB"/>
    <w:rsid w:val="00BC46C5"/>
    <w:rsid w:val="00BC4BFA"/>
    <w:rsid w:val="00BC53F3"/>
    <w:rsid w:val="00BC5F37"/>
    <w:rsid w:val="00BC6516"/>
    <w:rsid w:val="00BC7958"/>
    <w:rsid w:val="00BC7F5A"/>
    <w:rsid w:val="00BD075C"/>
    <w:rsid w:val="00BD102D"/>
    <w:rsid w:val="00BD198A"/>
    <w:rsid w:val="00BD2214"/>
    <w:rsid w:val="00BD2BC3"/>
    <w:rsid w:val="00BD2F79"/>
    <w:rsid w:val="00BD3A88"/>
    <w:rsid w:val="00BD4EC9"/>
    <w:rsid w:val="00BD5517"/>
    <w:rsid w:val="00BD5693"/>
    <w:rsid w:val="00BD6F39"/>
    <w:rsid w:val="00BE0317"/>
    <w:rsid w:val="00BE0740"/>
    <w:rsid w:val="00BE0B3C"/>
    <w:rsid w:val="00BE14EC"/>
    <w:rsid w:val="00BE2052"/>
    <w:rsid w:val="00BE36D7"/>
    <w:rsid w:val="00BE5480"/>
    <w:rsid w:val="00BF06E7"/>
    <w:rsid w:val="00BF15E7"/>
    <w:rsid w:val="00BF3A2A"/>
    <w:rsid w:val="00BF45B9"/>
    <w:rsid w:val="00BF5DB5"/>
    <w:rsid w:val="00BF5F0E"/>
    <w:rsid w:val="00C00801"/>
    <w:rsid w:val="00C01406"/>
    <w:rsid w:val="00C02306"/>
    <w:rsid w:val="00C026DF"/>
    <w:rsid w:val="00C02DE2"/>
    <w:rsid w:val="00C049E8"/>
    <w:rsid w:val="00C04EDD"/>
    <w:rsid w:val="00C052A6"/>
    <w:rsid w:val="00C05B7F"/>
    <w:rsid w:val="00C06EFC"/>
    <w:rsid w:val="00C074B8"/>
    <w:rsid w:val="00C1195D"/>
    <w:rsid w:val="00C122BA"/>
    <w:rsid w:val="00C1441E"/>
    <w:rsid w:val="00C14DC4"/>
    <w:rsid w:val="00C164B8"/>
    <w:rsid w:val="00C16843"/>
    <w:rsid w:val="00C173B5"/>
    <w:rsid w:val="00C21530"/>
    <w:rsid w:val="00C2306C"/>
    <w:rsid w:val="00C23B0B"/>
    <w:rsid w:val="00C25EDF"/>
    <w:rsid w:val="00C3048C"/>
    <w:rsid w:val="00C31016"/>
    <w:rsid w:val="00C3107E"/>
    <w:rsid w:val="00C318D4"/>
    <w:rsid w:val="00C31B95"/>
    <w:rsid w:val="00C31CB0"/>
    <w:rsid w:val="00C32E63"/>
    <w:rsid w:val="00C339E9"/>
    <w:rsid w:val="00C3515B"/>
    <w:rsid w:val="00C35620"/>
    <w:rsid w:val="00C36C9F"/>
    <w:rsid w:val="00C36E6D"/>
    <w:rsid w:val="00C373A1"/>
    <w:rsid w:val="00C40BBD"/>
    <w:rsid w:val="00C419F1"/>
    <w:rsid w:val="00C427B6"/>
    <w:rsid w:val="00C42CF9"/>
    <w:rsid w:val="00C437CB"/>
    <w:rsid w:val="00C43A01"/>
    <w:rsid w:val="00C43A2F"/>
    <w:rsid w:val="00C4443F"/>
    <w:rsid w:val="00C4460C"/>
    <w:rsid w:val="00C447F7"/>
    <w:rsid w:val="00C45872"/>
    <w:rsid w:val="00C47DDD"/>
    <w:rsid w:val="00C50033"/>
    <w:rsid w:val="00C5031B"/>
    <w:rsid w:val="00C5126A"/>
    <w:rsid w:val="00C52E33"/>
    <w:rsid w:val="00C53DC1"/>
    <w:rsid w:val="00C54C11"/>
    <w:rsid w:val="00C571A8"/>
    <w:rsid w:val="00C57813"/>
    <w:rsid w:val="00C57A53"/>
    <w:rsid w:val="00C61F1C"/>
    <w:rsid w:val="00C6223E"/>
    <w:rsid w:val="00C62326"/>
    <w:rsid w:val="00C62785"/>
    <w:rsid w:val="00C6341C"/>
    <w:rsid w:val="00C63BB4"/>
    <w:rsid w:val="00C64C23"/>
    <w:rsid w:val="00C66B82"/>
    <w:rsid w:val="00C67E9C"/>
    <w:rsid w:val="00C70253"/>
    <w:rsid w:val="00C728DF"/>
    <w:rsid w:val="00C761BD"/>
    <w:rsid w:val="00C76413"/>
    <w:rsid w:val="00C7646F"/>
    <w:rsid w:val="00C76628"/>
    <w:rsid w:val="00C777DD"/>
    <w:rsid w:val="00C80148"/>
    <w:rsid w:val="00C8041F"/>
    <w:rsid w:val="00C83C13"/>
    <w:rsid w:val="00C8438A"/>
    <w:rsid w:val="00C85159"/>
    <w:rsid w:val="00C8610D"/>
    <w:rsid w:val="00C862D6"/>
    <w:rsid w:val="00C86536"/>
    <w:rsid w:val="00C8678D"/>
    <w:rsid w:val="00C87A26"/>
    <w:rsid w:val="00C87C22"/>
    <w:rsid w:val="00C9275E"/>
    <w:rsid w:val="00C92B7F"/>
    <w:rsid w:val="00C945FC"/>
    <w:rsid w:val="00C94EF6"/>
    <w:rsid w:val="00C954E8"/>
    <w:rsid w:val="00C96020"/>
    <w:rsid w:val="00C97935"/>
    <w:rsid w:val="00CA1C6E"/>
    <w:rsid w:val="00CA1F5E"/>
    <w:rsid w:val="00CA1F7C"/>
    <w:rsid w:val="00CA3A7A"/>
    <w:rsid w:val="00CA6AF7"/>
    <w:rsid w:val="00CB138F"/>
    <w:rsid w:val="00CB1C34"/>
    <w:rsid w:val="00CB218D"/>
    <w:rsid w:val="00CB2584"/>
    <w:rsid w:val="00CB305E"/>
    <w:rsid w:val="00CB31AD"/>
    <w:rsid w:val="00CB52E2"/>
    <w:rsid w:val="00CB590C"/>
    <w:rsid w:val="00CC1458"/>
    <w:rsid w:val="00CC24BE"/>
    <w:rsid w:val="00CC56E2"/>
    <w:rsid w:val="00CC5729"/>
    <w:rsid w:val="00CC7255"/>
    <w:rsid w:val="00CD0389"/>
    <w:rsid w:val="00CD2E79"/>
    <w:rsid w:val="00CD2F98"/>
    <w:rsid w:val="00CD6F1D"/>
    <w:rsid w:val="00CD72E4"/>
    <w:rsid w:val="00CE1401"/>
    <w:rsid w:val="00CE2BB3"/>
    <w:rsid w:val="00CE2EFA"/>
    <w:rsid w:val="00CE3AC7"/>
    <w:rsid w:val="00CE449D"/>
    <w:rsid w:val="00CE456B"/>
    <w:rsid w:val="00CE4ACA"/>
    <w:rsid w:val="00CE4B5B"/>
    <w:rsid w:val="00CE4BC1"/>
    <w:rsid w:val="00CE55FC"/>
    <w:rsid w:val="00CE62BB"/>
    <w:rsid w:val="00CE6556"/>
    <w:rsid w:val="00CE6BB9"/>
    <w:rsid w:val="00CE7E18"/>
    <w:rsid w:val="00CF043E"/>
    <w:rsid w:val="00CF144A"/>
    <w:rsid w:val="00CF1732"/>
    <w:rsid w:val="00CF2C28"/>
    <w:rsid w:val="00CF3A70"/>
    <w:rsid w:val="00CF3EBE"/>
    <w:rsid w:val="00CF79FB"/>
    <w:rsid w:val="00D0104D"/>
    <w:rsid w:val="00D01305"/>
    <w:rsid w:val="00D030D2"/>
    <w:rsid w:val="00D036F1"/>
    <w:rsid w:val="00D058D0"/>
    <w:rsid w:val="00D06831"/>
    <w:rsid w:val="00D07040"/>
    <w:rsid w:val="00D10BDC"/>
    <w:rsid w:val="00D10CF9"/>
    <w:rsid w:val="00D1199E"/>
    <w:rsid w:val="00D11F85"/>
    <w:rsid w:val="00D122E5"/>
    <w:rsid w:val="00D1243C"/>
    <w:rsid w:val="00D13021"/>
    <w:rsid w:val="00D14FBF"/>
    <w:rsid w:val="00D1506F"/>
    <w:rsid w:val="00D15C79"/>
    <w:rsid w:val="00D16B94"/>
    <w:rsid w:val="00D1741C"/>
    <w:rsid w:val="00D206B5"/>
    <w:rsid w:val="00D20D82"/>
    <w:rsid w:val="00D21825"/>
    <w:rsid w:val="00D21F7F"/>
    <w:rsid w:val="00D22783"/>
    <w:rsid w:val="00D23718"/>
    <w:rsid w:val="00D24061"/>
    <w:rsid w:val="00D24595"/>
    <w:rsid w:val="00D245A0"/>
    <w:rsid w:val="00D259F1"/>
    <w:rsid w:val="00D30EEE"/>
    <w:rsid w:val="00D314CD"/>
    <w:rsid w:val="00D31C9A"/>
    <w:rsid w:val="00D32AD0"/>
    <w:rsid w:val="00D35CC1"/>
    <w:rsid w:val="00D36994"/>
    <w:rsid w:val="00D370D9"/>
    <w:rsid w:val="00D371F4"/>
    <w:rsid w:val="00D373DC"/>
    <w:rsid w:val="00D4009E"/>
    <w:rsid w:val="00D42FF6"/>
    <w:rsid w:val="00D435F1"/>
    <w:rsid w:val="00D435F2"/>
    <w:rsid w:val="00D43981"/>
    <w:rsid w:val="00D45912"/>
    <w:rsid w:val="00D47AB1"/>
    <w:rsid w:val="00D50CCE"/>
    <w:rsid w:val="00D53031"/>
    <w:rsid w:val="00D53165"/>
    <w:rsid w:val="00D5479A"/>
    <w:rsid w:val="00D55C23"/>
    <w:rsid w:val="00D55D77"/>
    <w:rsid w:val="00D56ECF"/>
    <w:rsid w:val="00D56F05"/>
    <w:rsid w:val="00D57481"/>
    <w:rsid w:val="00D57552"/>
    <w:rsid w:val="00D576B3"/>
    <w:rsid w:val="00D60C28"/>
    <w:rsid w:val="00D61FF5"/>
    <w:rsid w:val="00D62C83"/>
    <w:rsid w:val="00D63469"/>
    <w:rsid w:val="00D63E6E"/>
    <w:rsid w:val="00D63E7A"/>
    <w:rsid w:val="00D64BEF"/>
    <w:rsid w:val="00D64F89"/>
    <w:rsid w:val="00D65383"/>
    <w:rsid w:val="00D654A1"/>
    <w:rsid w:val="00D659EF"/>
    <w:rsid w:val="00D676AE"/>
    <w:rsid w:val="00D706E2"/>
    <w:rsid w:val="00D70915"/>
    <w:rsid w:val="00D70F7C"/>
    <w:rsid w:val="00D73E55"/>
    <w:rsid w:val="00D73E7A"/>
    <w:rsid w:val="00D73EC6"/>
    <w:rsid w:val="00D74AC8"/>
    <w:rsid w:val="00D76D3A"/>
    <w:rsid w:val="00D772A4"/>
    <w:rsid w:val="00D77972"/>
    <w:rsid w:val="00D80106"/>
    <w:rsid w:val="00D80221"/>
    <w:rsid w:val="00D81CF8"/>
    <w:rsid w:val="00D833B4"/>
    <w:rsid w:val="00D84424"/>
    <w:rsid w:val="00D8490C"/>
    <w:rsid w:val="00D84E79"/>
    <w:rsid w:val="00D86BF5"/>
    <w:rsid w:val="00D87AFD"/>
    <w:rsid w:val="00D90396"/>
    <w:rsid w:val="00D9052A"/>
    <w:rsid w:val="00D91B71"/>
    <w:rsid w:val="00D91CED"/>
    <w:rsid w:val="00D95170"/>
    <w:rsid w:val="00D95740"/>
    <w:rsid w:val="00D957BF"/>
    <w:rsid w:val="00DA034F"/>
    <w:rsid w:val="00DA0A24"/>
    <w:rsid w:val="00DA0B97"/>
    <w:rsid w:val="00DA117E"/>
    <w:rsid w:val="00DA2EE2"/>
    <w:rsid w:val="00DA3CB7"/>
    <w:rsid w:val="00DA3E3E"/>
    <w:rsid w:val="00DA45B1"/>
    <w:rsid w:val="00DA5A83"/>
    <w:rsid w:val="00DB0282"/>
    <w:rsid w:val="00DB08E9"/>
    <w:rsid w:val="00DB2C31"/>
    <w:rsid w:val="00DB3AB6"/>
    <w:rsid w:val="00DB45CB"/>
    <w:rsid w:val="00DC0CBA"/>
    <w:rsid w:val="00DC1007"/>
    <w:rsid w:val="00DC235A"/>
    <w:rsid w:val="00DC271E"/>
    <w:rsid w:val="00DC384E"/>
    <w:rsid w:val="00DC4812"/>
    <w:rsid w:val="00DC616A"/>
    <w:rsid w:val="00DC7943"/>
    <w:rsid w:val="00DD554F"/>
    <w:rsid w:val="00DD5D4C"/>
    <w:rsid w:val="00DD605B"/>
    <w:rsid w:val="00DD6FF6"/>
    <w:rsid w:val="00DD76B8"/>
    <w:rsid w:val="00DD7A8B"/>
    <w:rsid w:val="00DD7F85"/>
    <w:rsid w:val="00DE0376"/>
    <w:rsid w:val="00DE2ECA"/>
    <w:rsid w:val="00DE30AB"/>
    <w:rsid w:val="00DE5CE8"/>
    <w:rsid w:val="00DE5D96"/>
    <w:rsid w:val="00DE7719"/>
    <w:rsid w:val="00DF0FB1"/>
    <w:rsid w:val="00DF1FED"/>
    <w:rsid w:val="00DF2090"/>
    <w:rsid w:val="00DF21B8"/>
    <w:rsid w:val="00DF2999"/>
    <w:rsid w:val="00DF497F"/>
    <w:rsid w:val="00DF49D3"/>
    <w:rsid w:val="00DF567C"/>
    <w:rsid w:val="00DF5825"/>
    <w:rsid w:val="00DF62E0"/>
    <w:rsid w:val="00DF662E"/>
    <w:rsid w:val="00DF66DC"/>
    <w:rsid w:val="00E01A0C"/>
    <w:rsid w:val="00E01F52"/>
    <w:rsid w:val="00E053D4"/>
    <w:rsid w:val="00E05666"/>
    <w:rsid w:val="00E06567"/>
    <w:rsid w:val="00E06B84"/>
    <w:rsid w:val="00E06FD8"/>
    <w:rsid w:val="00E079D1"/>
    <w:rsid w:val="00E07B4A"/>
    <w:rsid w:val="00E07B5C"/>
    <w:rsid w:val="00E1016B"/>
    <w:rsid w:val="00E1095C"/>
    <w:rsid w:val="00E11190"/>
    <w:rsid w:val="00E12D70"/>
    <w:rsid w:val="00E14415"/>
    <w:rsid w:val="00E14A09"/>
    <w:rsid w:val="00E17575"/>
    <w:rsid w:val="00E17FBD"/>
    <w:rsid w:val="00E2115E"/>
    <w:rsid w:val="00E23850"/>
    <w:rsid w:val="00E25804"/>
    <w:rsid w:val="00E26967"/>
    <w:rsid w:val="00E30B58"/>
    <w:rsid w:val="00E317D7"/>
    <w:rsid w:val="00E31F5D"/>
    <w:rsid w:val="00E320D6"/>
    <w:rsid w:val="00E32794"/>
    <w:rsid w:val="00E33E7E"/>
    <w:rsid w:val="00E34902"/>
    <w:rsid w:val="00E37160"/>
    <w:rsid w:val="00E40E48"/>
    <w:rsid w:val="00E41181"/>
    <w:rsid w:val="00E43AC7"/>
    <w:rsid w:val="00E443E3"/>
    <w:rsid w:val="00E44EB7"/>
    <w:rsid w:val="00E45268"/>
    <w:rsid w:val="00E45CFF"/>
    <w:rsid w:val="00E46B61"/>
    <w:rsid w:val="00E57CF2"/>
    <w:rsid w:val="00E60040"/>
    <w:rsid w:val="00E61095"/>
    <w:rsid w:val="00E638B3"/>
    <w:rsid w:val="00E63D17"/>
    <w:rsid w:val="00E649EC"/>
    <w:rsid w:val="00E65A38"/>
    <w:rsid w:val="00E65E90"/>
    <w:rsid w:val="00E67AD7"/>
    <w:rsid w:val="00E71ED7"/>
    <w:rsid w:val="00E727E5"/>
    <w:rsid w:val="00E729F4"/>
    <w:rsid w:val="00E742E7"/>
    <w:rsid w:val="00E74D49"/>
    <w:rsid w:val="00E75A05"/>
    <w:rsid w:val="00E76EE6"/>
    <w:rsid w:val="00E76FBB"/>
    <w:rsid w:val="00E773C9"/>
    <w:rsid w:val="00E77769"/>
    <w:rsid w:val="00E77B06"/>
    <w:rsid w:val="00E80A96"/>
    <w:rsid w:val="00E81120"/>
    <w:rsid w:val="00E81D31"/>
    <w:rsid w:val="00E847D0"/>
    <w:rsid w:val="00E8502F"/>
    <w:rsid w:val="00E87536"/>
    <w:rsid w:val="00E904A7"/>
    <w:rsid w:val="00E911BF"/>
    <w:rsid w:val="00E925D8"/>
    <w:rsid w:val="00E92B41"/>
    <w:rsid w:val="00E93EB5"/>
    <w:rsid w:val="00E96DC3"/>
    <w:rsid w:val="00EA0128"/>
    <w:rsid w:val="00EA0BF1"/>
    <w:rsid w:val="00EA0C5A"/>
    <w:rsid w:val="00EA1039"/>
    <w:rsid w:val="00EA25F4"/>
    <w:rsid w:val="00EA37A6"/>
    <w:rsid w:val="00EA5D86"/>
    <w:rsid w:val="00EA68A0"/>
    <w:rsid w:val="00EA7AE9"/>
    <w:rsid w:val="00EB1018"/>
    <w:rsid w:val="00EB2747"/>
    <w:rsid w:val="00EB2BCC"/>
    <w:rsid w:val="00EB2CEF"/>
    <w:rsid w:val="00EB4C6E"/>
    <w:rsid w:val="00EB5C29"/>
    <w:rsid w:val="00EB659C"/>
    <w:rsid w:val="00EC049E"/>
    <w:rsid w:val="00EC1636"/>
    <w:rsid w:val="00EC2867"/>
    <w:rsid w:val="00EC2E96"/>
    <w:rsid w:val="00EC4BE3"/>
    <w:rsid w:val="00EC5701"/>
    <w:rsid w:val="00EC6EF8"/>
    <w:rsid w:val="00EC70F5"/>
    <w:rsid w:val="00EC7673"/>
    <w:rsid w:val="00EC7CC3"/>
    <w:rsid w:val="00ED0DD7"/>
    <w:rsid w:val="00ED10AD"/>
    <w:rsid w:val="00ED1C05"/>
    <w:rsid w:val="00ED2E0E"/>
    <w:rsid w:val="00ED35E6"/>
    <w:rsid w:val="00ED3CC0"/>
    <w:rsid w:val="00ED7510"/>
    <w:rsid w:val="00EE0E06"/>
    <w:rsid w:val="00EE166B"/>
    <w:rsid w:val="00EE2120"/>
    <w:rsid w:val="00EE39DA"/>
    <w:rsid w:val="00EE4511"/>
    <w:rsid w:val="00EE54AD"/>
    <w:rsid w:val="00EE5603"/>
    <w:rsid w:val="00EE6CC1"/>
    <w:rsid w:val="00EF016D"/>
    <w:rsid w:val="00EF1A68"/>
    <w:rsid w:val="00EF27C7"/>
    <w:rsid w:val="00EF2F3A"/>
    <w:rsid w:val="00EF3391"/>
    <w:rsid w:val="00EF3526"/>
    <w:rsid w:val="00EF5827"/>
    <w:rsid w:val="00EF64DC"/>
    <w:rsid w:val="00EF6A14"/>
    <w:rsid w:val="00EF6C6D"/>
    <w:rsid w:val="00EF6D9C"/>
    <w:rsid w:val="00F022B2"/>
    <w:rsid w:val="00F023FF"/>
    <w:rsid w:val="00F02C32"/>
    <w:rsid w:val="00F02D21"/>
    <w:rsid w:val="00F03095"/>
    <w:rsid w:val="00F039EC"/>
    <w:rsid w:val="00F03DCF"/>
    <w:rsid w:val="00F04C85"/>
    <w:rsid w:val="00F058FF"/>
    <w:rsid w:val="00F0640B"/>
    <w:rsid w:val="00F06A81"/>
    <w:rsid w:val="00F107B4"/>
    <w:rsid w:val="00F1270C"/>
    <w:rsid w:val="00F12922"/>
    <w:rsid w:val="00F130CD"/>
    <w:rsid w:val="00F13B5D"/>
    <w:rsid w:val="00F13DEE"/>
    <w:rsid w:val="00F14920"/>
    <w:rsid w:val="00F15360"/>
    <w:rsid w:val="00F1543D"/>
    <w:rsid w:val="00F15B06"/>
    <w:rsid w:val="00F16958"/>
    <w:rsid w:val="00F20188"/>
    <w:rsid w:val="00F20D70"/>
    <w:rsid w:val="00F20F31"/>
    <w:rsid w:val="00F22106"/>
    <w:rsid w:val="00F24659"/>
    <w:rsid w:val="00F26C18"/>
    <w:rsid w:val="00F26C32"/>
    <w:rsid w:val="00F3106B"/>
    <w:rsid w:val="00F32D38"/>
    <w:rsid w:val="00F33102"/>
    <w:rsid w:val="00F337D4"/>
    <w:rsid w:val="00F3547B"/>
    <w:rsid w:val="00F354C3"/>
    <w:rsid w:val="00F35D20"/>
    <w:rsid w:val="00F40848"/>
    <w:rsid w:val="00F432B3"/>
    <w:rsid w:val="00F433EC"/>
    <w:rsid w:val="00F4385D"/>
    <w:rsid w:val="00F43D22"/>
    <w:rsid w:val="00F445C9"/>
    <w:rsid w:val="00F45D41"/>
    <w:rsid w:val="00F47EB5"/>
    <w:rsid w:val="00F51141"/>
    <w:rsid w:val="00F5148C"/>
    <w:rsid w:val="00F51714"/>
    <w:rsid w:val="00F51759"/>
    <w:rsid w:val="00F53218"/>
    <w:rsid w:val="00F5485E"/>
    <w:rsid w:val="00F567A1"/>
    <w:rsid w:val="00F57D1D"/>
    <w:rsid w:val="00F62672"/>
    <w:rsid w:val="00F62A3E"/>
    <w:rsid w:val="00F6300E"/>
    <w:rsid w:val="00F63F38"/>
    <w:rsid w:val="00F65CFF"/>
    <w:rsid w:val="00F65D47"/>
    <w:rsid w:val="00F67DC8"/>
    <w:rsid w:val="00F70B72"/>
    <w:rsid w:val="00F70BBF"/>
    <w:rsid w:val="00F72F9D"/>
    <w:rsid w:val="00F7371B"/>
    <w:rsid w:val="00F74520"/>
    <w:rsid w:val="00F748A9"/>
    <w:rsid w:val="00F76436"/>
    <w:rsid w:val="00F771B4"/>
    <w:rsid w:val="00F77C87"/>
    <w:rsid w:val="00F81A3A"/>
    <w:rsid w:val="00F81AA2"/>
    <w:rsid w:val="00F823E5"/>
    <w:rsid w:val="00F828DF"/>
    <w:rsid w:val="00F836D8"/>
    <w:rsid w:val="00F83A51"/>
    <w:rsid w:val="00F844A4"/>
    <w:rsid w:val="00F8547D"/>
    <w:rsid w:val="00F85D36"/>
    <w:rsid w:val="00F87557"/>
    <w:rsid w:val="00F8757E"/>
    <w:rsid w:val="00F87C96"/>
    <w:rsid w:val="00F87FEF"/>
    <w:rsid w:val="00F9037E"/>
    <w:rsid w:val="00F90D7F"/>
    <w:rsid w:val="00F913D9"/>
    <w:rsid w:val="00F9284B"/>
    <w:rsid w:val="00F933EE"/>
    <w:rsid w:val="00F93609"/>
    <w:rsid w:val="00F9381B"/>
    <w:rsid w:val="00F96666"/>
    <w:rsid w:val="00F9763C"/>
    <w:rsid w:val="00FA16C5"/>
    <w:rsid w:val="00FA1A76"/>
    <w:rsid w:val="00FA1BF9"/>
    <w:rsid w:val="00FA2B5A"/>
    <w:rsid w:val="00FA2BCA"/>
    <w:rsid w:val="00FA4050"/>
    <w:rsid w:val="00FB13BB"/>
    <w:rsid w:val="00FB167E"/>
    <w:rsid w:val="00FB2833"/>
    <w:rsid w:val="00FB2937"/>
    <w:rsid w:val="00FB2BCE"/>
    <w:rsid w:val="00FB3036"/>
    <w:rsid w:val="00FB39B6"/>
    <w:rsid w:val="00FB4119"/>
    <w:rsid w:val="00FB4E35"/>
    <w:rsid w:val="00FB4F7F"/>
    <w:rsid w:val="00FB51BE"/>
    <w:rsid w:val="00FB57A3"/>
    <w:rsid w:val="00FB69DD"/>
    <w:rsid w:val="00FB7260"/>
    <w:rsid w:val="00FC2059"/>
    <w:rsid w:val="00FC28B0"/>
    <w:rsid w:val="00FC35BA"/>
    <w:rsid w:val="00FC3D9E"/>
    <w:rsid w:val="00FC4541"/>
    <w:rsid w:val="00FC5C40"/>
    <w:rsid w:val="00FC6CC2"/>
    <w:rsid w:val="00FC6F72"/>
    <w:rsid w:val="00FD11DC"/>
    <w:rsid w:val="00FD1287"/>
    <w:rsid w:val="00FD1BD0"/>
    <w:rsid w:val="00FD1F32"/>
    <w:rsid w:val="00FD376E"/>
    <w:rsid w:val="00FD7DC9"/>
    <w:rsid w:val="00FD7E61"/>
    <w:rsid w:val="00FE074A"/>
    <w:rsid w:val="00FE0809"/>
    <w:rsid w:val="00FE1EB2"/>
    <w:rsid w:val="00FE26BC"/>
    <w:rsid w:val="00FE3334"/>
    <w:rsid w:val="00FE41D6"/>
    <w:rsid w:val="00FE7A04"/>
    <w:rsid w:val="00FF067A"/>
    <w:rsid w:val="00FF11FC"/>
    <w:rsid w:val="00FF2959"/>
    <w:rsid w:val="00FF36F9"/>
    <w:rsid w:val="00FF55D6"/>
    <w:rsid w:val="00FF6A3A"/>
    <w:rsid w:val="02269102"/>
    <w:rsid w:val="24420B68"/>
    <w:rsid w:val="2853E76D"/>
    <w:rsid w:val="2F48FEAA"/>
    <w:rsid w:val="3A0961C3"/>
    <w:rsid w:val="3D89AF3F"/>
    <w:rsid w:val="445B0629"/>
    <w:rsid w:val="643089FE"/>
    <w:rsid w:val="68A915F5"/>
    <w:rsid w:val="7E39F04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89EE1"/>
  <w15:chartTrackingRefBased/>
  <w15:docId w15:val="{41369099-ECD2-435F-915C-33D2026C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A45"/>
    <w:pPr>
      <w:spacing w:before="120" w:after="120"/>
    </w:pPr>
    <w:rPr>
      <w:rFonts w:asciiTheme="majorHAnsi" w:hAnsiTheme="majorHAnsi"/>
    </w:rPr>
  </w:style>
  <w:style w:type="paragraph" w:styleId="Heading1">
    <w:name w:val="heading 1"/>
    <w:basedOn w:val="IntenseQuote"/>
    <w:next w:val="Normal"/>
    <w:link w:val="Heading1Char"/>
    <w:autoRedefine/>
    <w:uiPriority w:val="9"/>
    <w:qFormat/>
    <w:rsid w:val="00660D7C"/>
    <w:pPr>
      <w:keepNext/>
      <w:keepLines/>
      <w:spacing w:before="240" w:after="0"/>
      <w:ind w:left="0"/>
      <w:jc w:val="left"/>
      <w:outlineLvl w:val="0"/>
    </w:pPr>
    <w:rPr>
      <w:rFonts w:eastAsiaTheme="majorEastAsia" w:cstheme="majorBidi"/>
      <w:b/>
      <w:i w:val="0"/>
      <w:color w:val="2E74B5" w:themeColor="accent1" w:themeShade="BF"/>
      <w:sz w:val="32"/>
      <w:szCs w:val="32"/>
    </w:rPr>
  </w:style>
  <w:style w:type="paragraph" w:styleId="Heading2">
    <w:name w:val="heading 2"/>
    <w:basedOn w:val="Normal"/>
    <w:next w:val="Normal"/>
    <w:link w:val="Heading2Char"/>
    <w:uiPriority w:val="9"/>
    <w:unhideWhenUsed/>
    <w:qFormat/>
    <w:rsid w:val="001F1C43"/>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B82"/>
    <w:pPr>
      <w:keepNext/>
      <w:keepLines/>
      <w:spacing w:before="40" w:after="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201DE4"/>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List Paragraph Number,Bullet point,Recommendation,L,Content descriptions,Bullet Point,dot point List Paragraph,Figure_name,Bullet- First level,Listenabsatz1,List Paragraph2,List Bullet 1,Body Bullets 1"/>
    <w:basedOn w:val="Normal"/>
    <w:link w:val="ListParagraphChar"/>
    <w:uiPriority w:val="34"/>
    <w:qFormat/>
    <w:rsid w:val="005C5F1A"/>
    <w:pPr>
      <w:ind w:left="720"/>
      <w:contextualSpacing/>
    </w:pPr>
  </w:style>
  <w:style w:type="character" w:styleId="CommentReference">
    <w:name w:val="annotation reference"/>
    <w:basedOn w:val="DefaultParagraphFont"/>
    <w:uiPriority w:val="99"/>
    <w:semiHidden/>
    <w:unhideWhenUsed/>
    <w:rsid w:val="00A71BDA"/>
    <w:rPr>
      <w:sz w:val="16"/>
      <w:szCs w:val="16"/>
    </w:rPr>
  </w:style>
  <w:style w:type="paragraph" w:styleId="CommentText">
    <w:name w:val="annotation text"/>
    <w:basedOn w:val="Normal"/>
    <w:link w:val="CommentTextChar"/>
    <w:uiPriority w:val="99"/>
    <w:unhideWhenUsed/>
    <w:rsid w:val="00A71BDA"/>
    <w:pPr>
      <w:spacing w:line="240" w:lineRule="auto"/>
    </w:pPr>
    <w:rPr>
      <w:sz w:val="20"/>
      <w:szCs w:val="20"/>
    </w:rPr>
  </w:style>
  <w:style w:type="character" w:customStyle="1" w:styleId="CommentTextChar">
    <w:name w:val="Comment Text Char"/>
    <w:basedOn w:val="DefaultParagraphFont"/>
    <w:link w:val="CommentText"/>
    <w:uiPriority w:val="99"/>
    <w:rsid w:val="00A71BDA"/>
    <w:rPr>
      <w:sz w:val="20"/>
      <w:szCs w:val="20"/>
    </w:rPr>
  </w:style>
  <w:style w:type="paragraph" w:styleId="CommentSubject">
    <w:name w:val="annotation subject"/>
    <w:basedOn w:val="CommentText"/>
    <w:next w:val="CommentText"/>
    <w:link w:val="CommentSubjectChar"/>
    <w:uiPriority w:val="99"/>
    <w:semiHidden/>
    <w:unhideWhenUsed/>
    <w:rsid w:val="00A71BDA"/>
    <w:rPr>
      <w:b/>
      <w:bCs/>
    </w:rPr>
  </w:style>
  <w:style w:type="character" w:customStyle="1" w:styleId="CommentSubjectChar">
    <w:name w:val="Comment Subject Char"/>
    <w:basedOn w:val="CommentTextChar"/>
    <w:link w:val="CommentSubject"/>
    <w:uiPriority w:val="99"/>
    <w:semiHidden/>
    <w:rsid w:val="00A71BDA"/>
    <w:rPr>
      <w:b/>
      <w:bCs/>
      <w:sz w:val="20"/>
      <w:szCs w:val="20"/>
    </w:rPr>
  </w:style>
  <w:style w:type="paragraph" w:styleId="BalloonText">
    <w:name w:val="Balloon Text"/>
    <w:basedOn w:val="Normal"/>
    <w:link w:val="BalloonTextChar"/>
    <w:uiPriority w:val="99"/>
    <w:semiHidden/>
    <w:unhideWhenUsed/>
    <w:rsid w:val="00A7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DA"/>
    <w:rPr>
      <w:rFonts w:ascii="Segoe UI" w:hAnsi="Segoe UI" w:cs="Segoe UI"/>
      <w:sz w:val="18"/>
      <w:szCs w:val="18"/>
    </w:rPr>
  </w:style>
  <w:style w:type="paragraph" w:styleId="Header">
    <w:name w:val="header"/>
    <w:basedOn w:val="Normal"/>
    <w:link w:val="HeaderChar"/>
    <w:uiPriority w:val="99"/>
    <w:unhideWhenUsed/>
    <w:rsid w:val="00CB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2E2"/>
  </w:style>
  <w:style w:type="paragraph" w:styleId="Footer">
    <w:name w:val="footer"/>
    <w:basedOn w:val="Normal"/>
    <w:link w:val="FooterChar"/>
    <w:uiPriority w:val="99"/>
    <w:unhideWhenUsed/>
    <w:rsid w:val="00CB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2E2"/>
  </w:style>
  <w:style w:type="paragraph" w:styleId="Title">
    <w:name w:val="Title"/>
    <w:basedOn w:val="Normal"/>
    <w:next w:val="Normal"/>
    <w:link w:val="TitleChar"/>
    <w:uiPriority w:val="7"/>
    <w:qFormat/>
    <w:rsid w:val="00CB52E2"/>
    <w:pPr>
      <w:spacing w:before="480" w:after="0" w:line="276" w:lineRule="auto"/>
    </w:pPr>
    <w:rPr>
      <w:rFonts w:ascii="Calibri" w:eastAsiaTheme="majorEastAsia" w:hAnsi="Calibri" w:cstheme="majorBidi"/>
      <w:b/>
      <w:color w:val="343741"/>
      <w:spacing w:val="-10"/>
      <w:kern w:val="28"/>
      <w:sz w:val="60"/>
      <w:szCs w:val="56"/>
    </w:rPr>
  </w:style>
  <w:style w:type="character" w:customStyle="1" w:styleId="TitleChar">
    <w:name w:val="Title Char"/>
    <w:basedOn w:val="DefaultParagraphFont"/>
    <w:link w:val="Title"/>
    <w:uiPriority w:val="7"/>
    <w:rsid w:val="00CB52E2"/>
    <w:rPr>
      <w:rFonts w:ascii="Calibri" w:eastAsiaTheme="majorEastAsia" w:hAnsi="Calibri" w:cstheme="majorBidi"/>
      <w:b/>
      <w:color w:val="343741"/>
      <w:spacing w:val="-10"/>
      <w:kern w:val="28"/>
      <w:sz w:val="60"/>
      <w:szCs w:val="56"/>
    </w:rPr>
  </w:style>
  <w:style w:type="paragraph" w:styleId="Subtitle">
    <w:name w:val="Subtitle"/>
    <w:basedOn w:val="Normal"/>
    <w:next w:val="Normal"/>
    <w:link w:val="SubtitleChar"/>
    <w:uiPriority w:val="11"/>
    <w:qFormat/>
    <w:rsid w:val="00CB52E2"/>
    <w:pPr>
      <w:numPr>
        <w:ilvl w:val="1"/>
      </w:numPr>
      <w:spacing w:after="0" w:line="276" w:lineRule="auto"/>
    </w:pPr>
    <w:rPr>
      <w:rFonts w:ascii="Calibri" w:eastAsiaTheme="minorEastAsia" w:hAnsi="Calibri"/>
      <w:spacing w:val="15"/>
      <w:sz w:val="40"/>
    </w:rPr>
  </w:style>
  <w:style w:type="character" w:customStyle="1" w:styleId="SubtitleChar">
    <w:name w:val="Subtitle Char"/>
    <w:basedOn w:val="DefaultParagraphFont"/>
    <w:link w:val="Subtitle"/>
    <w:uiPriority w:val="11"/>
    <w:rsid w:val="00CB52E2"/>
    <w:rPr>
      <w:rFonts w:ascii="Calibri" w:eastAsiaTheme="minorEastAsia" w:hAnsi="Calibri"/>
      <w:spacing w:val="15"/>
      <w:sz w:val="40"/>
    </w:rPr>
  </w:style>
  <w:style w:type="character" w:customStyle="1" w:styleId="ListParagraphChar">
    <w:name w:val="List Paragraph Char"/>
    <w:aliases w:val="List Paragraph1 Char,List Paragraph11 Char,List Paragraph Number Char,Bullet point Char,Recommendation Char,L Char,Content descriptions Char,Bullet Point Char,dot point List Paragraph Char,Figure_name Char,Bullet- First level Char"/>
    <w:basedOn w:val="DefaultParagraphFont"/>
    <w:link w:val="ListParagraph"/>
    <w:uiPriority w:val="34"/>
    <w:rsid w:val="00D56F05"/>
  </w:style>
  <w:style w:type="paragraph" w:styleId="NoSpacing">
    <w:name w:val="No Spacing"/>
    <w:link w:val="NoSpacingChar"/>
    <w:uiPriority w:val="1"/>
    <w:qFormat/>
    <w:rsid w:val="00015F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15F5B"/>
    <w:rPr>
      <w:rFonts w:eastAsiaTheme="minorEastAsia"/>
      <w:lang w:val="en-US" w:eastAsia="ja-JP"/>
    </w:rPr>
  </w:style>
  <w:style w:type="character" w:customStyle="1" w:styleId="Heading1Char">
    <w:name w:val="Heading 1 Char"/>
    <w:basedOn w:val="DefaultParagraphFont"/>
    <w:link w:val="Heading1"/>
    <w:uiPriority w:val="9"/>
    <w:rsid w:val="00660D7C"/>
    <w:rPr>
      <w:rFonts w:asciiTheme="majorHAnsi" w:eastAsiaTheme="majorEastAsia" w:hAnsiTheme="majorHAnsi" w:cstheme="majorBidi"/>
      <w:b/>
      <w:iCs/>
      <w:color w:val="2E74B5" w:themeColor="accent1" w:themeShade="BF"/>
      <w:sz w:val="32"/>
      <w:szCs w:val="32"/>
    </w:rPr>
  </w:style>
  <w:style w:type="paragraph" w:styleId="TOCHeading">
    <w:name w:val="TOC Heading"/>
    <w:basedOn w:val="Heading1"/>
    <w:next w:val="Normal"/>
    <w:uiPriority w:val="39"/>
    <w:unhideWhenUsed/>
    <w:qFormat/>
    <w:rsid w:val="00015F5B"/>
    <w:pPr>
      <w:outlineLvl w:val="9"/>
    </w:pPr>
    <w:rPr>
      <w:lang w:val="en-US"/>
    </w:rPr>
  </w:style>
  <w:style w:type="paragraph" w:styleId="NormalWeb">
    <w:name w:val="Normal (Web)"/>
    <w:basedOn w:val="Normal"/>
    <w:uiPriority w:val="99"/>
    <w:semiHidden/>
    <w:unhideWhenUsed/>
    <w:rsid w:val="00F064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D4F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F68"/>
    <w:rPr>
      <w:sz w:val="20"/>
      <w:szCs w:val="20"/>
    </w:rPr>
  </w:style>
  <w:style w:type="character" w:styleId="FootnoteReference">
    <w:name w:val="footnote reference"/>
    <w:basedOn w:val="DefaultParagraphFont"/>
    <w:uiPriority w:val="99"/>
    <w:semiHidden/>
    <w:unhideWhenUsed/>
    <w:rsid w:val="001D4F68"/>
    <w:rPr>
      <w:vertAlign w:val="superscript"/>
    </w:rPr>
  </w:style>
  <w:style w:type="character" w:styleId="Hyperlink">
    <w:name w:val="Hyperlink"/>
    <w:basedOn w:val="DefaultParagraphFont"/>
    <w:uiPriority w:val="99"/>
    <w:unhideWhenUsed/>
    <w:rsid w:val="00CD2E79"/>
    <w:rPr>
      <w:color w:val="0563C1"/>
      <w:u w:val="single"/>
    </w:rPr>
  </w:style>
  <w:style w:type="table" w:styleId="TableGrid">
    <w:name w:val="Table Grid"/>
    <w:basedOn w:val="TableNormal"/>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E2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01C85"/>
    <w:rPr>
      <w:color w:val="954F72" w:themeColor="followedHyperlink"/>
      <w:u w:val="single"/>
    </w:rPr>
  </w:style>
  <w:style w:type="character" w:customStyle="1" w:styleId="Heading2Char">
    <w:name w:val="Heading 2 Char"/>
    <w:basedOn w:val="DefaultParagraphFont"/>
    <w:link w:val="Heading2"/>
    <w:uiPriority w:val="9"/>
    <w:rsid w:val="001F1C43"/>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223754"/>
    <w:pPr>
      <w:spacing w:after="0" w:line="240" w:lineRule="auto"/>
    </w:pPr>
  </w:style>
  <w:style w:type="character" w:customStyle="1" w:styleId="Heading3Char">
    <w:name w:val="Heading 3 Char"/>
    <w:basedOn w:val="DefaultParagraphFont"/>
    <w:link w:val="Heading3"/>
    <w:uiPriority w:val="9"/>
    <w:rsid w:val="00C66B82"/>
    <w:rPr>
      <w:rFonts w:asciiTheme="majorHAnsi" w:eastAsiaTheme="majorEastAsia" w:hAnsiTheme="majorHAnsi" w:cstheme="majorBidi"/>
      <w:b/>
      <w:color w:val="1F4D78" w:themeColor="accent1" w:themeShade="7F"/>
      <w:sz w:val="24"/>
      <w:szCs w:val="24"/>
    </w:rPr>
  </w:style>
  <w:style w:type="character" w:customStyle="1" w:styleId="UnresolvedMention1">
    <w:name w:val="Unresolved Mention1"/>
    <w:basedOn w:val="DefaultParagraphFont"/>
    <w:uiPriority w:val="99"/>
    <w:semiHidden/>
    <w:unhideWhenUsed/>
    <w:rsid w:val="008C1E43"/>
    <w:rPr>
      <w:color w:val="605E5C"/>
      <w:shd w:val="clear" w:color="auto" w:fill="E1DFDD"/>
    </w:rPr>
  </w:style>
  <w:style w:type="paragraph" w:styleId="TOC2">
    <w:name w:val="toc 2"/>
    <w:basedOn w:val="Normal"/>
    <w:next w:val="Normal"/>
    <w:autoRedefine/>
    <w:uiPriority w:val="39"/>
    <w:unhideWhenUsed/>
    <w:rsid w:val="00DC616A"/>
    <w:pPr>
      <w:spacing w:after="100"/>
      <w:ind w:left="220"/>
    </w:pPr>
  </w:style>
  <w:style w:type="character" w:styleId="UnresolvedMention">
    <w:name w:val="Unresolved Mention"/>
    <w:basedOn w:val="DefaultParagraphFont"/>
    <w:uiPriority w:val="99"/>
    <w:unhideWhenUsed/>
    <w:rsid w:val="00506FCA"/>
    <w:rPr>
      <w:color w:val="605E5C"/>
      <w:shd w:val="clear" w:color="auto" w:fill="E1DFDD"/>
    </w:rPr>
  </w:style>
  <w:style w:type="paragraph" w:customStyle="1" w:styleId="Principles">
    <w:name w:val="Principles"/>
    <w:basedOn w:val="Heading1"/>
    <w:link w:val="PrinciplesChar"/>
    <w:qFormat/>
    <w:rsid w:val="00C66B82"/>
    <w:pPr>
      <w:numPr>
        <w:numId w:val="10"/>
      </w:numPr>
      <w:spacing w:before="0" w:after="240"/>
      <w:ind w:right="57"/>
    </w:pPr>
    <w:rPr>
      <w:rFonts w:ascii="Calibri Light" w:hAnsi="Calibri Light" w:cs="Calibri Light"/>
      <w:color w:val="0070C0"/>
      <w:sz w:val="56"/>
      <w:lang w:val="en-GB"/>
    </w:rPr>
  </w:style>
  <w:style w:type="character" w:styleId="SubtleEmphasis">
    <w:name w:val="Subtle Emphasis"/>
    <w:basedOn w:val="DefaultParagraphFont"/>
    <w:uiPriority w:val="19"/>
    <w:qFormat/>
    <w:rsid w:val="00054FBC"/>
    <w:rPr>
      <w:i/>
      <w:iCs/>
      <w:color w:val="404040" w:themeColor="text1" w:themeTint="BF"/>
    </w:rPr>
  </w:style>
  <w:style w:type="character" w:customStyle="1" w:styleId="PrinciplesChar">
    <w:name w:val="Principles Char"/>
    <w:basedOn w:val="Heading1Char"/>
    <w:link w:val="Principles"/>
    <w:rsid w:val="00C66B82"/>
    <w:rPr>
      <w:rFonts w:ascii="Calibri Light" w:eastAsiaTheme="majorEastAsia" w:hAnsi="Calibri Light" w:cs="Calibri Light"/>
      <w:b/>
      <w:iCs/>
      <w:color w:val="0070C0"/>
      <w:sz w:val="56"/>
      <w:szCs w:val="32"/>
      <w:lang w:val="en-GB"/>
    </w:rPr>
  </w:style>
  <w:style w:type="character" w:styleId="Emphasis">
    <w:name w:val="Emphasis"/>
    <w:basedOn w:val="DefaultParagraphFont"/>
    <w:uiPriority w:val="20"/>
    <w:qFormat/>
    <w:rsid w:val="00054FBC"/>
    <w:rPr>
      <w:i/>
      <w:iCs/>
    </w:rPr>
  </w:style>
  <w:style w:type="character" w:customStyle="1" w:styleId="Heading4Char">
    <w:name w:val="Heading 4 Char"/>
    <w:basedOn w:val="DefaultParagraphFont"/>
    <w:link w:val="Heading4"/>
    <w:uiPriority w:val="9"/>
    <w:rsid w:val="00201DE4"/>
    <w:rPr>
      <w:rFonts w:asciiTheme="majorHAnsi" w:eastAsiaTheme="majorEastAsia" w:hAnsiTheme="majorHAnsi" w:cstheme="majorBidi"/>
      <w:i/>
      <w:iCs/>
      <w:color w:val="2E74B5" w:themeColor="accent1" w:themeShade="BF"/>
    </w:rPr>
  </w:style>
  <w:style w:type="paragraph" w:styleId="IntenseQuote">
    <w:name w:val="Intense Quote"/>
    <w:basedOn w:val="Normal"/>
    <w:next w:val="Normal"/>
    <w:link w:val="IntenseQuoteChar"/>
    <w:uiPriority w:val="30"/>
    <w:qFormat/>
    <w:rsid w:val="00933E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3E9D"/>
    <w:rPr>
      <w:rFonts w:asciiTheme="majorHAnsi" w:hAnsiTheme="majorHAnsi"/>
      <w:i/>
      <w:iCs/>
      <w:color w:val="5B9BD5" w:themeColor="accent1"/>
    </w:rPr>
  </w:style>
  <w:style w:type="character" w:styleId="Strong">
    <w:name w:val="Strong"/>
    <w:basedOn w:val="DefaultParagraphFont"/>
    <w:uiPriority w:val="22"/>
    <w:qFormat/>
    <w:rsid w:val="0060646A"/>
    <w:rPr>
      <w:b/>
      <w:bCs/>
    </w:rPr>
  </w:style>
  <w:style w:type="character" w:styleId="Mention">
    <w:name w:val="Mention"/>
    <w:basedOn w:val="DefaultParagraphFont"/>
    <w:uiPriority w:val="99"/>
    <w:unhideWhenUsed/>
    <w:rsid w:val="007A46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022">
      <w:bodyDiv w:val="1"/>
      <w:marLeft w:val="0"/>
      <w:marRight w:val="0"/>
      <w:marTop w:val="0"/>
      <w:marBottom w:val="0"/>
      <w:divBdr>
        <w:top w:val="none" w:sz="0" w:space="0" w:color="auto"/>
        <w:left w:val="none" w:sz="0" w:space="0" w:color="auto"/>
        <w:bottom w:val="none" w:sz="0" w:space="0" w:color="auto"/>
        <w:right w:val="none" w:sz="0" w:space="0" w:color="auto"/>
      </w:divBdr>
    </w:div>
    <w:div w:id="61678348">
      <w:bodyDiv w:val="1"/>
      <w:marLeft w:val="0"/>
      <w:marRight w:val="0"/>
      <w:marTop w:val="0"/>
      <w:marBottom w:val="0"/>
      <w:divBdr>
        <w:top w:val="none" w:sz="0" w:space="0" w:color="auto"/>
        <w:left w:val="none" w:sz="0" w:space="0" w:color="auto"/>
        <w:bottom w:val="none" w:sz="0" w:space="0" w:color="auto"/>
        <w:right w:val="none" w:sz="0" w:space="0" w:color="auto"/>
      </w:divBdr>
    </w:div>
    <w:div w:id="177816881">
      <w:bodyDiv w:val="1"/>
      <w:marLeft w:val="0"/>
      <w:marRight w:val="0"/>
      <w:marTop w:val="0"/>
      <w:marBottom w:val="0"/>
      <w:divBdr>
        <w:top w:val="none" w:sz="0" w:space="0" w:color="auto"/>
        <w:left w:val="none" w:sz="0" w:space="0" w:color="auto"/>
        <w:bottom w:val="none" w:sz="0" w:space="0" w:color="auto"/>
        <w:right w:val="none" w:sz="0" w:space="0" w:color="auto"/>
      </w:divBdr>
    </w:div>
    <w:div w:id="394743123">
      <w:bodyDiv w:val="1"/>
      <w:marLeft w:val="0"/>
      <w:marRight w:val="0"/>
      <w:marTop w:val="0"/>
      <w:marBottom w:val="0"/>
      <w:divBdr>
        <w:top w:val="none" w:sz="0" w:space="0" w:color="auto"/>
        <w:left w:val="none" w:sz="0" w:space="0" w:color="auto"/>
        <w:bottom w:val="none" w:sz="0" w:space="0" w:color="auto"/>
        <w:right w:val="none" w:sz="0" w:space="0" w:color="auto"/>
      </w:divBdr>
    </w:div>
    <w:div w:id="508714672">
      <w:bodyDiv w:val="1"/>
      <w:marLeft w:val="0"/>
      <w:marRight w:val="0"/>
      <w:marTop w:val="0"/>
      <w:marBottom w:val="0"/>
      <w:divBdr>
        <w:top w:val="none" w:sz="0" w:space="0" w:color="auto"/>
        <w:left w:val="none" w:sz="0" w:space="0" w:color="auto"/>
        <w:bottom w:val="none" w:sz="0" w:space="0" w:color="auto"/>
        <w:right w:val="none" w:sz="0" w:space="0" w:color="auto"/>
      </w:divBdr>
    </w:div>
    <w:div w:id="565846690">
      <w:bodyDiv w:val="1"/>
      <w:marLeft w:val="0"/>
      <w:marRight w:val="0"/>
      <w:marTop w:val="0"/>
      <w:marBottom w:val="0"/>
      <w:divBdr>
        <w:top w:val="none" w:sz="0" w:space="0" w:color="auto"/>
        <w:left w:val="none" w:sz="0" w:space="0" w:color="auto"/>
        <w:bottom w:val="none" w:sz="0" w:space="0" w:color="auto"/>
        <w:right w:val="none" w:sz="0" w:space="0" w:color="auto"/>
      </w:divBdr>
      <w:divsChild>
        <w:div w:id="401030893">
          <w:marLeft w:val="0"/>
          <w:marRight w:val="0"/>
          <w:marTop w:val="0"/>
          <w:marBottom w:val="0"/>
          <w:divBdr>
            <w:top w:val="none" w:sz="0" w:space="0" w:color="auto"/>
            <w:left w:val="none" w:sz="0" w:space="0" w:color="auto"/>
            <w:bottom w:val="none" w:sz="0" w:space="0" w:color="auto"/>
            <w:right w:val="none" w:sz="0" w:space="0" w:color="auto"/>
          </w:divBdr>
          <w:divsChild>
            <w:div w:id="6236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6080">
      <w:bodyDiv w:val="1"/>
      <w:marLeft w:val="0"/>
      <w:marRight w:val="0"/>
      <w:marTop w:val="0"/>
      <w:marBottom w:val="0"/>
      <w:divBdr>
        <w:top w:val="none" w:sz="0" w:space="0" w:color="auto"/>
        <w:left w:val="none" w:sz="0" w:space="0" w:color="auto"/>
        <w:bottom w:val="none" w:sz="0" w:space="0" w:color="auto"/>
        <w:right w:val="none" w:sz="0" w:space="0" w:color="auto"/>
      </w:divBdr>
    </w:div>
    <w:div w:id="634020308">
      <w:bodyDiv w:val="1"/>
      <w:marLeft w:val="0"/>
      <w:marRight w:val="0"/>
      <w:marTop w:val="0"/>
      <w:marBottom w:val="0"/>
      <w:divBdr>
        <w:top w:val="none" w:sz="0" w:space="0" w:color="auto"/>
        <w:left w:val="none" w:sz="0" w:space="0" w:color="auto"/>
        <w:bottom w:val="none" w:sz="0" w:space="0" w:color="auto"/>
        <w:right w:val="none" w:sz="0" w:space="0" w:color="auto"/>
      </w:divBdr>
    </w:div>
    <w:div w:id="1101951144">
      <w:bodyDiv w:val="1"/>
      <w:marLeft w:val="0"/>
      <w:marRight w:val="0"/>
      <w:marTop w:val="0"/>
      <w:marBottom w:val="0"/>
      <w:divBdr>
        <w:top w:val="none" w:sz="0" w:space="0" w:color="auto"/>
        <w:left w:val="none" w:sz="0" w:space="0" w:color="auto"/>
        <w:bottom w:val="none" w:sz="0" w:space="0" w:color="auto"/>
        <w:right w:val="none" w:sz="0" w:space="0" w:color="auto"/>
      </w:divBdr>
    </w:div>
    <w:div w:id="1242640184">
      <w:bodyDiv w:val="1"/>
      <w:marLeft w:val="0"/>
      <w:marRight w:val="0"/>
      <w:marTop w:val="0"/>
      <w:marBottom w:val="0"/>
      <w:divBdr>
        <w:top w:val="none" w:sz="0" w:space="0" w:color="auto"/>
        <w:left w:val="none" w:sz="0" w:space="0" w:color="auto"/>
        <w:bottom w:val="none" w:sz="0" w:space="0" w:color="auto"/>
        <w:right w:val="none" w:sz="0" w:space="0" w:color="auto"/>
      </w:divBdr>
    </w:div>
    <w:div w:id="1313943815">
      <w:bodyDiv w:val="1"/>
      <w:marLeft w:val="0"/>
      <w:marRight w:val="0"/>
      <w:marTop w:val="0"/>
      <w:marBottom w:val="0"/>
      <w:divBdr>
        <w:top w:val="none" w:sz="0" w:space="0" w:color="auto"/>
        <w:left w:val="none" w:sz="0" w:space="0" w:color="auto"/>
        <w:bottom w:val="none" w:sz="0" w:space="0" w:color="auto"/>
        <w:right w:val="none" w:sz="0" w:space="0" w:color="auto"/>
      </w:divBdr>
    </w:div>
    <w:div w:id="1524899117">
      <w:bodyDiv w:val="1"/>
      <w:marLeft w:val="0"/>
      <w:marRight w:val="0"/>
      <w:marTop w:val="0"/>
      <w:marBottom w:val="0"/>
      <w:divBdr>
        <w:top w:val="none" w:sz="0" w:space="0" w:color="auto"/>
        <w:left w:val="none" w:sz="0" w:space="0" w:color="auto"/>
        <w:bottom w:val="none" w:sz="0" w:space="0" w:color="auto"/>
        <w:right w:val="none" w:sz="0" w:space="0" w:color="auto"/>
      </w:divBdr>
    </w:div>
    <w:div w:id="1610507997">
      <w:bodyDiv w:val="1"/>
      <w:marLeft w:val="0"/>
      <w:marRight w:val="0"/>
      <w:marTop w:val="0"/>
      <w:marBottom w:val="0"/>
      <w:divBdr>
        <w:top w:val="none" w:sz="0" w:space="0" w:color="auto"/>
        <w:left w:val="none" w:sz="0" w:space="0" w:color="auto"/>
        <w:bottom w:val="none" w:sz="0" w:space="0" w:color="auto"/>
        <w:right w:val="none" w:sz="0" w:space="0" w:color="auto"/>
      </w:divBdr>
    </w:div>
    <w:div w:id="1796675228">
      <w:bodyDiv w:val="1"/>
      <w:marLeft w:val="0"/>
      <w:marRight w:val="0"/>
      <w:marTop w:val="0"/>
      <w:marBottom w:val="0"/>
      <w:divBdr>
        <w:top w:val="none" w:sz="0" w:space="0" w:color="auto"/>
        <w:left w:val="none" w:sz="0" w:space="0" w:color="auto"/>
        <w:bottom w:val="none" w:sz="0" w:space="0" w:color="auto"/>
        <w:right w:val="none" w:sz="0" w:space="0" w:color="auto"/>
      </w:divBdr>
    </w:div>
    <w:div w:id="1806973096">
      <w:bodyDiv w:val="1"/>
      <w:marLeft w:val="0"/>
      <w:marRight w:val="0"/>
      <w:marTop w:val="0"/>
      <w:marBottom w:val="0"/>
      <w:divBdr>
        <w:top w:val="none" w:sz="0" w:space="0" w:color="auto"/>
        <w:left w:val="none" w:sz="0" w:space="0" w:color="auto"/>
        <w:bottom w:val="none" w:sz="0" w:space="0" w:color="auto"/>
        <w:right w:val="none" w:sz="0" w:space="0" w:color="auto"/>
      </w:divBdr>
    </w:div>
    <w:div w:id="1894076561">
      <w:bodyDiv w:val="1"/>
      <w:marLeft w:val="0"/>
      <w:marRight w:val="0"/>
      <w:marTop w:val="0"/>
      <w:marBottom w:val="0"/>
      <w:divBdr>
        <w:top w:val="none" w:sz="0" w:space="0" w:color="auto"/>
        <w:left w:val="none" w:sz="0" w:space="0" w:color="auto"/>
        <w:bottom w:val="none" w:sz="0" w:space="0" w:color="auto"/>
        <w:right w:val="none" w:sz="0" w:space="0" w:color="auto"/>
      </w:divBdr>
    </w:div>
    <w:div w:id="19136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probonocentre.org.au/legal-help/individual/" TargetMode="External"/><Relationship Id="rId26" Type="http://schemas.openxmlformats.org/officeDocument/2006/relationships/hyperlink" Target="https://clcs.org.au/our-people" TargetMode="External"/><Relationship Id="rId3" Type="http://schemas.openxmlformats.org/officeDocument/2006/relationships/customXml" Target="../customXml/item3.xml"/><Relationship Id="rId21" Type="http://schemas.openxmlformats.org/officeDocument/2006/relationships/hyperlink" Target="https://blueknot.org.au/wp-content/uploads/2021/08/26_BK_FS_TalkingAboutTrauma_GeneralPublic_JULY21.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omcare.gov.au/about/forms-publications/documents/publications/safety/workplace-sexual-harassment-regulatory-guidance-for-employers-on-whs-responsibilities.pdf" TargetMode="External"/><Relationship Id="rId25" Type="http://schemas.openxmlformats.org/officeDocument/2006/relationships/hyperlink" Target="https://www.fwc.gov.au/issues-we-help/sexual-harassment" TargetMode="External"/><Relationship Id="rId2" Type="http://schemas.openxmlformats.org/officeDocument/2006/relationships/customXml" Target="../customXml/item2.xml"/><Relationship Id="rId16" Type="http://schemas.openxmlformats.org/officeDocument/2006/relationships/hyperlink" Target="https://www.safeworkaustralia.gov.au/safety-topic/hazards/workplace-sexual-harassment" TargetMode="External"/><Relationship Id="rId20" Type="http://schemas.openxmlformats.org/officeDocument/2006/relationships/footer" Target="footer1.xml"/><Relationship Id="rId29" Type="http://schemas.openxmlformats.org/officeDocument/2006/relationships/hyperlink" Target="https://support.australianunions.org.au/hc/en-au" TargetMode="External"/><Relationship Id="rId7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umanrights.gov.au/complaints/make-complai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espectatwork.gov.au/" TargetMode="External"/><Relationship Id="rId23" Type="http://schemas.openxmlformats.org/officeDocument/2006/relationships/hyperlink" Target="https://www.respectatwork.gov.au/where-seek-help-if-youve-experienced-workplace-sexual-harassment" TargetMode="External"/><Relationship Id="rId28" Type="http://schemas.openxmlformats.org/officeDocument/2006/relationships/hyperlink" Target="https://mensline.org.au/phone-and-online-counselling/?gclid=EAIaIQobChMIh4bsqOjI8wIV0uF3Ch3LpQTeEAAYAiAAEgKmYfD_BwE" TargetMode="External"/><Relationship Id="rId10" Type="http://schemas.openxmlformats.org/officeDocument/2006/relationships/footnotes" Target="footnotes.xml"/><Relationship Id="rId19" Type="http://schemas.openxmlformats.org/officeDocument/2006/relationships/hyperlink" Target="https://msb.org.au/mediato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ccca.com.au/content/services" TargetMode="External"/><Relationship Id="rId27" Type="http://schemas.openxmlformats.org/officeDocument/2006/relationships/hyperlink" Target="https://au.reachout.com/" TargetMode="External"/><Relationship Id="rId30" Type="http://schemas.openxmlformats.org/officeDocument/2006/relationships/hyperlink" Target="https://www.probonocentre.org.au/legal-help/individual/"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 D o c u m e n t s ! 4 5 0 7 3 7 7 1 . 4 < / d o c u m e n t i d >  
     < s e n d e r i d > D A V E J E < / s e n d e r i d >  
     < s e n d e r e m a i l > J E N N Y . D A V E N P O R T @ A G S . G O V . A U < / s e n d e r e m a i l >  
     < l a s t m o d i f i e d > 2 0 2 2 - 0 6 - 2 9 T 1 9 : 2 1 : 0 0 . 0 0 0 0 0 0 0 + 1 0 : 0 0 < / l a s t m o d i f i e d >  
     < d a t a b a s e > D o c u m e n t s 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F4E3D60210BB4E8C0DF00A1276A942" ma:contentTypeVersion="13" ma:contentTypeDescription="Create a new document." ma:contentTypeScope="" ma:versionID="df2f02b7a59ea58ab026026c5d37caad">
  <xsd:schema xmlns:xsd="http://www.w3.org/2001/XMLSchema" xmlns:xs="http://www.w3.org/2001/XMLSchema" xmlns:p="http://schemas.microsoft.com/office/2006/metadata/properties" xmlns:ns3="fadf0e3f-3f2e-4d92-9a93-3e48c1424fd9" xmlns:ns4="457ec9f6-0c4e-4a9f-9b2c-bad8a2e18a07" targetNamespace="http://schemas.microsoft.com/office/2006/metadata/properties" ma:root="true" ma:fieldsID="493398992c834823556e8911c77c4bdb" ns3:_="" ns4:_="">
    <xsd:import namespace="fadf0e3f-3f2e-4d92-9a93-3e48c1424fd9"/>
    <xsd:import namespace="457ec9f6-0c4e-4a9f-9b2c-bad8a2e18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f0e3f-3f2e-4d92-9a93-3e48c1424f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7ec9f6-0c4e-4a9f-9b2c-bad8a2e18a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750C4-0767-4BFE-96E1-FD7DCA1DFF87}">
  <ds:schemaRefs>
    <ds:schemaRef ds:uri="http://www.imanage.com/work/xmlschema"/>
  </ds:schemaRefs>
</ds:datastoreItem>
</file>

<file path=customXml/itemProps2.xml><?xml version="1.0" encoding="utf-8"?>
<ds:datastoreItem xmlns:ds="http://schemas.openxmlformats.org/officeDocument/2006/customXml" ds:itemID="{ADF88474-8D2E-4B08-9C90-DA7A7BD9D993}">
  <ds:schemaRefs>
    <ds:schemaRef ds:uri="http://schemas.microsoft.com/sharepoint/v3/contenttype/forms"/>
  </ds:schemaRefs>
</ds:datastoreItem>
</file>

<file path=customXml/itemProps3.xml><?xml version="1.0" encoding="utf-8"?>
<ds:datastoreItem xmlns:ds="http://schemas.openxmlformats.org/officeDocument/2006/customXml" ds:itemID="{568EF166-0631-4795-BF45-45F30EA040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023DC-294F-4055-997A-9AFCA1ED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f0e3f-3f2e-4d92-9a93-3e48c1424fd9"/>
    <ds:schemaRef ds:uri="457ec9f6-0c4e-4a9f-9b2c-bad8a2e18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C994DD-8627-4741-97F3-1C5FB8D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Confidentiality clauses</vt:lpstr>
    </vt:vector>
  </TitlesOfParts>
  <Company>Attorney-General's Department</Company>
  <LinksUpToDate>false</LinksUpToDate>
  <CharactersWithSpaces>43095</CharactersWithSpaces>
  <SharedDoc>false</SharedDoc>
  <HLinks>
    <vt:vector size="300" baseType="variant">
      <vt:variant>
        <vt:i4>5046344</vt:i4>
      </vt:variant>
      <vt:variant>
        <vt:i4>153</vt:i4>
      </vt:variant>
      <vt:variant>
        <vt:i4>0</vt:i4>
      </vt:variant>
      <vt:variant>
        <vt:i4>5</vt:i4>
      </vt:variant>
      <vt:variant>
        <vt:lpwstr>http://www.suicidecallbackservice.org.au/</vt:lpwstr>
      </vt:variant>
      <vt:variant>
        <vt:lpwstr/>
      </vt:variant>
      <vt:variant>
        <vt:i4>1572972</vt:i4>
      </vt:variant>
      <vt:variant>
        <vt:i4>150</vt:i4>
      </vt:variant>
      <vt:variant>
        <vt:i4>0</vt:i4>
      </vt:variant>
      <vt:variant>
        <vt:i4>5</vt:i4>
      </vt:variant>
      <vt:variant>
        <vt:lpwstr>https://mensline.org.au/phone-and-online-counselling/?gclid=EAIaIQobChMIh4bsqOjI8wIV0uF3Ch3LpQTeEAAYAiAAEgKmYfD_BwE</vt:lpwstr>
      </vt:variant>
      <vt:variant>
        <vt:lpwstr/>
      </vt:variant>
      <vt:variant>
        <vt:i4>262172</vt:i4>
      </vt:variant>
      <vt:variant>
        <vt:i4>147</vt:i4>
      </vt:variant>
      <vt:variant>
        <vt:i4>0</vt:i4>
      </vt:variant>
      <vt:variant>
        <vt:i4>5</vt:i4>
      </vt:variant>
      <vt:variant>
        <vt:lpwstr>https://au.reachout.com/</vt:lpwstr>
      </vt:variant>
      <vt:variant>
        <vt:lpwstr/>
      </vt:variant>
      <vt:variant>
        <vt:i4>1048664</vt:i4>
      </vt:variant>
      <vt:variant>
        <vt:i4>144</vt:i4>
      </vt:variant>
      <vt:variant>
        <vt:i4>0</vt:i4>
      </vt:variant>
      <vt:variant>
        <vt:i4>5</vt:i4>
      </vt:variant>
      <vt:variant>
        <vt:lpwstr>https://www.ourwatch.org.au/</vt:lpwstr>
      </vt:variant>
      <vt:variant>
        <vt:lpwstr/>
      </vt:variant>
      <vt:variant>
        <vt:i4>917583</vt:i4>
      </vt:variant>
      <vt:variant>
        <vt:i4>141</vt:i4>
      </vt:variant>
      <vt:variant>
        <vt:i4>0</vt:i4>
      </vt:variant>
      <vt:variant>
        <vt:i4>5</vt:i4>
      </vt:variant>
      <vt:variant>
        <vt:lpwstr>https://www.lifeline.org.au/</vt:lpwstr>
      </vt:variant>
      <vt:variant>
        <vt:lpwstr/>
      </vt:variant>
      <vt:variant>
        <vt:i4>8257589</vt:i4>
      </vt:variant>
      <vt:variant>
        <vt:i4>138</vt:i4>
      </vt:variant>
      <vt:variant>
        <vt:i4>0</vt:i4>
      </vt:variant>
      <vt:variant>
        <vt:i4>5</vt:i4>
      </vt:variant>
      <vt:variant>
        <vt:lpwstr>https://www.beyondblue.org.au/get-support/get-immediate-support</vt:lpwstr>
      </vt:variant>
      <vt:variant>
        <vt:lpwstr/>
      </vt:variant>
      <vt:variant>
        <vt:i4>393228</vt:i4>
      </vt:variant>
      <vt:variant>
        <vt:i4>135</vt:i4>
      </vt:variant>
      <vt:variant>
        <vt:i4>0</vt:i4>
      </vt:variant>
      <vt:variant>
        <vt:i4>5</vt:i4>
      </vt:variant>
      <vt:variant>
        <vt:lpwstr>https://www.respect.gov.au/services/</vt:lpwstr>
      </vt:variant>
      <vt:variant>
        <vt:lpwstr/>
      </vt:variant>
      <vt:variant>
        <vt:i4>6291516</vt:i4>
      </vt:variant>
      <vt:variant>
        <vt:i4>132</vt:i4>
      </vt:variant>
      <vt:variant>
        <vt:i4>0</vt:i4>
      </vt:variant>
      <vt:variant>
        <vt:i4>5</vt:i4>
      </vt:variant>
      <vt:variant>
        <vt:lpwstr>https://www.humanrights.vic.gov.au/</vt:lpwstr>
      </vt:variant>
      <vt:variant>
        <vt:lpwstr/>
      </vt:variant>
      <vt:variant>
        <vt:i4>3604527</vt:i4>
      </vt:variant>
      <vt:variant>
        <vt:i4>129</vt:i4>
      </vt:variant>
      <vt:variant>
        <vt:i4>0</vt:i4>
      </vt:variant>
      <vt:variant>
        <vt:i4>5</vt:i4>
      </vt:variant>
      <vt:variant>
        <vt:lpwstr>https://www.eoc.sa.gov.au/</vt:lpwstr>
      </vt:variant>
      <vt:variant>
        <vt:lpwstr/>
      </vt:variant>
      <vt:variant>
        <vt:i4>5308440</vt:i4>
      </vt:variant>
      <vt:variant>
        <vt:i4>126</vt:i4>
      </vt:variant>
      <vt:variant>
        <vt:i4>0</vt:i4>
      </vt:variant>
      <vt:variant>
        <vt:i4>5</vt:i4>
      </vt:variant>
      <vt:variant>
        <vt:lpwstr>https://equalopportunity.tas.gov.au/</vt:lpwstr>
      </vt:variant>
      <vt:variant>
        <vt:lpwstr/>
      </vt:variant>
      <vt:variant>
        <vt:i4>7340086</vt:i4>
      </vt:variant>
      <vt:variant>
        <vt:i4>123</vt:i4>
      </vt:variant>
      <vt:variant>
        <vt:i4>0</vt:i4>
      </vt:variant>
      <vt:variant>
        <vt:i4>5</vt:i4>
      </vt:variant>
      <vt:variant>
        <vt:lpwstr>https://adc.nt.gov.au/</vt:lpwstr>
      </vt:variant>
      <vt:variant>
        <vt:lpwstr/>
      </vt:variant>
      <vt:variant>
        <vt:i4>6619253</vt:i4>
      </vt:variant>
      <vt:variant>
        <vt:i4>120</vt:i4>
      </vt:variant>
      <vt:variant>
        <vt:i4>0</vt:i4>
      </vt:variant>
      <vt:variant>
        <vt:i4>5</vt:i4>
      </vt:variant>
      <vt:variant>
        <vt:lpwstr>https://www.wa.gov.au/organisation/equal-opportunity-commission</vt:lpwstr>
      </vt:variant>
      <vt:variant>
        <vt:lpwstr/>
      </vt:variant>
      <vt:variant>
        <vt:i4>589851</vt:i4>
      </vt:variant>
      <vt:variant>
        <vt:i4>117</vt:i4>
      </vt:variant>
      <vt:variant>
        <vt:i4>0</vt:i4>
      </vt:variant>
      <vt:variant>
        <vt:i4>5</vt:i4>
      </vt:variant>
      <vt:variant>
        <vt:lpwstr>https://www.qhrc.qld.gov.au/</vt:lpwstr>
      </vt:variant>
      <vt:variant>
        <vt:lpwstr/>
      </vt:variant>
      <vt:variant>
        <vt:i4>3932271</vt:i4>
      </vt:variant>
      <vt:variant>
        <vt:i4>114</vt:i4>
      </vt:variant>
      <vt:variant>
        <vt:i4>0</vt:i4>
      </vt:variant>
      <vt:variant>
        <vt:i4>5</vt:i4>
      </vt:variant>
      <vt:variant>
        <vt:lpwstr>https://antidiscrimination.nsw.gov.au/</vt:lpwstr>
      </vt:variant>
      <vt:variant>
        <vt:lpwstr/>
      </vt:variant>
      <vt:variant>
        <vt:i4>3407918</vt:i4>
      </vt:variant>
      <vt:variant>
        <vt:i4>111</vt:i4>
      </vt:variant>
      <vt:variant>
        <vt:i4>0</vt:i4>
      </vt:variant>
      <vt:variant>
        <vt:i4>5</vt:i4>
      </vt:variant>
      <vt:variant>
        <vt:lpwstr>https://hrc.act.gov.au/</vt:lpwstr>
      </vt:variant>
      <vt:variant>
        <vt:lpwstr/>
      </vt:variant>
      <vt:variant>
        <vt:i4>8257577</vt:i4>
      </vt:variant>
      <vt:variant>
        <vt:i4>108</vt:i4>
      </vt:variant>
      <vt:variant>
        <vt:i4>0</vt:i4>
      </vt:variant>
      <vt:variant>
        <vt:i4>5</vt:i4>
      </vt:variant>
      <vt:variant>
        <vt:lpwstr>https://humanrights.gov.au/</vt:lpwstr>
      </vt:variant>
      <vt:variant>
        <vt:lpwstr/>
      </vt:variant>
      <vt:variant>
        <vt:i4>5963853</vt:i4>
      </vt:variant>
      <vt:variant>
        <vt:i4>105</vt:i4>
      </vt:variant>
      <vt:variant>
        <vt:i4>0</vt:i4>
      </vt:variant>
      <vt:variant>
        <vt:i4>5</vt:i4>
      </vt:variant>
      <vt:variant>
        <vt:lpwstr>https://www.safeworkaustralia.gov.au/</vt:lpwstr>
      </vt:variant>
      <vt:variant>
        <vt:lpwstr/>
      </vt:variant>
      <vt:variant>
        <vt:i4>2883642</vt:i4>
      </vt:variant>
      <vt:variant>
        <vt:i4>102</vt:i4>
      </vt:variant>
      <vt:variant>
        <vt:i4>0</vt:i4>
      </vt:variant>
      <vt:variant>
        <vt:i4>5</vt:i4>
      </vt:variant>
      <vt:variant>
        <vt:lpwstr>https://www.comcare.gov.au/</vt:lpwstr>
      </vt:variant>
      <vt:variant>
        <vt:lpwstr/>
      </vt:variant>
      <vt:variant>
        <vt:i4>131080</vt:i4>
      </vt:variant>
      <vt:variant>
        <vt:i4>99</vt:i4>
      </vt:variant>
      <vt:variant>
        <vt:i4>0</vt:i4>
      </vt:variant>
      <vt:variant>
        <vt:i4>5</vt:i4>
      </vt:variant>
      <vt:variant>
        <vt:lpwstr>https://www.worksafe.qld.gov.au/</vt:lpwstr>
      </vt:variant>
      <vt:variant>
        <vt:lpwstr/>
      </vt:variant>
      <vt:variant>
        <vt:i4>131085</vt:i4>
      </vt:variant>
      <vt:variant>
        <vt:i4>96</vt:i4>
      </vt:variant>
      <vt:variant>
        <vt:i4>0</vt:i4>
      </vt:variant>
      <vt:variant>
        <vt:i4>5</vt:i4>
      </vt:variant>
      <vt:variant>
        <vt:lpwstr>https://www.worksafe.vic.gov.au/</vt:lpwstr>
      </vt:variant>
      <vt:variant>
        <vt:lpwstr/>
      </vt:variant>
      <vt:variant>
        <vt:i4>131079</vt:i4>
      </vt:variant>
      <vt:variant>
        <vt:i4>93</vt:i4>
      </vt:variant>
      <vt:variant>
        <vt:i4>0</vt:i4>
      </vt:variant>
      <vt:variant>
        <vt:i4>5</vt:i4>
      </vt:variant>
      <vt:variant>
        <vt:lpwstr>https://www.worksafe.act.gov.au/</vt:lpwstr>
      </vt:variant>
      <vt:variant>
        <vt:lpwstr/>
      </vt:variant>
      <vt:variant>
        <vt:i4>6619258</vt:i4>
      </vt:variant>
      <vt:variant>
        <vt:i4>90</vt:i4>
      </vt:variant>
      <vt:variant>
        <vt:i4>0</vt:i4>
      </vt:variant>
      <vt:variant>
        <vt:i4>5</vt:i4>
      </vt:variant>
      <vt:variant>
        <vt:lpwstr>https://worksafe.nt.gov.au/</vt:lpwstr>
      </vt:variant>
      <vt:variant>
        <vt:lpwstr/>
      </vt:variant>
      <vt:variant>
        <vt:i4>1048581</vt:i4>
      </vt:variant>
      <vt:variant>
        <vt:i4>87</vt:i4>
      </vt:variant>
      <vt:variant>
        <vt:i4>0</vt:i4>
      </vt:variant>
      <vt:variant>
        <vt:i4>5</vt:i4>
      </vt:variant>
      <vt:variant>
        <vt:lpwstr>https://www.worksafe.tas.gov.au/</vt:lpwstr>
      </vt:variant>
      <vt:variant>
        <vt:lpwstr/>
      </vt:variant>
      <vt:variant>
        <vt:i4>2097213</vt:i4>
      </vt:variant>
      <vt:variant>
        <vt:i4>84</vt:i4>
      </vt:variant>
      <vt:variant>
        <vt:i4>0</vt:i4>
      </vt:variant>
      <vt:variant>
        <vt:i4>5</vt:i4>
      </vt:variant>
      <vt:variant>
        <vt:lpwstr>https://www.commerce.wa.gov.au/worksafe</vt:lpwstr>
      </vt:variant>
      <vt:variant>
        <vt:lpwstr/>
      </vt:variant>
      <vt:variant>
        <vt:i4>2162799</vt:i4>
      </vt:variant>
      <vt:variant>
        <vt:i4>81</vt:i4>
      </vt:variant>
      <vt:variant>
        <vt:i4>0</vt:i4>
      </vt:variant>
      <vt:variant>
        <vt:i4>5</vt:i4>
      </vt:variant>
      <vt:variant>
        <vt:lpwstr>https://www.safework.sa.gov.au/</vt:lpwstr>
      </vt:variant>
      <vt:variant>
        <vt:lpwstr/>
      </vt:variant>
      <vt:variant>
        <vt:i4>917527</vt:i4>
      </vt:variant>
      <vt:variant>
        <vt:i4>78</vt:i4>
      </vt:variant>
      <vt:variant>
        <vt:i4>0</vt:i4>
      </vt:variant>
      <vt:variant>
        <vt:i4>5</vt:i4>
      </vt:variant>
      <vt:variant>
        <vt:lpwstr>https://www.safework.nsw.gov.au/</vt:lpwstr>
      </vt:variant>
      <vt:variant>
        <vt:lpwstr/>
      </vt:variant>
      <vt:variant>
        <vt:i4>2293819</vt:i4>
      </vt:variant>
      <vt:variant>
        <vt:i4>75</vt:i4>
      </vt:variant>
      <vt:variant>
        <vt:i4>0</vt:i4>
      </vt:variant>
      <vt:variant>
        <vt:i4>5</vt:i4>
      </vt:variant>
      <vt:variant>
        <vt:lpwstr>https://www.als.org.au/</vt:lpwstr>
      </vt:variant>
      <vt:variant>
        <vt:lpwstr/>
      </vt:variant>
      <vt:variant>
        <vt:i4>2359409</vt:i4>
      </vt:variant>
      <vt:variant>
        <vt:i4>72</vt:i4>
      </vt:variant>
      <vt:variant>
        <vt:i4>0</vt:i4>
      </vt:variant>
      <vt:variant>
        <vt:i4>5</vt:i4>
      </vt:variant>
      <vt:variant>
        <vt:lpwstr>https://www.legalaid.wa.gov.au/</vt:lpwstr>
      </vt:variant>
      <vt:variant>
        <vt:lpwstr/>
      </vt:variant>
      <vt:variant>
        <vt:i4>983124</vt:i4>
      </vt:variant>
      <vt:variant>
        <vt:i4>69</vt:i4>
      </vt:variant>
      <vt:variant>
        <vt:i4>0</vt:i4>
      </vt:variant>
      <vt:variant>
        <vt:i4>5</vt:i4>
      </vt:variant>
      <vt:variant>
        <vt:lpwstr>https://www.alrm.org.au/</vt:lpwstr>
      </vt:variant>
      <vt:variant>
        <vt:lpwstr/>
      </vt:variant>
      <vt:variant>
        <vt:i4>7471142</vt:i4>
      </vt:variant>
      <vt:variant>
        <vt:i4>66</vt:i4>
      </vt:variant>
      <vt:variant>
        <vt:i4>0</vt:i4>
      </vt:variant>
      <vt:variant>
        <vt:i4>5</vt:i4>
      </vt:variant>
      <vt:variant>
        <vt:lpwstr>https://lsc.sa.gov.au/</vt:lpwstr>
      </vt:variant>
      <vt:variant>
        <vt:lpwstr/>
      </vt:variant>
      <vt:variant>
        <vt:i4>5439525</vt:i4>
      </vt:variant>
      <vt:variant>
        <vt:i4>63</vt:i4>
      </vt:variant>
      <vt:variant>
        <vt:i4>0</vt:i4>
      </vt:variant>
      <vt:variant>
        <vt:i4>5</vt:i4>
      </vt:variant>
      <vt:variant>
        <vt:lpwstr>mailto:tals@tals.net.au</vt:lpwstr>
      </vt:variant>
      <vt:variant>
        <vt:lpwstr/>
      </vt:variant>
      <vt:variant>
        <vt:i4>1114139</vt:i4>
      </vt:variant>
      <vt:variant>
        <vt:i4>60</vt:i4>
      </vt:variant>
      <vt:variant>
        <vt:i4>0</vt:i4>
      </vt:variant>
      <vt:variant>
        <vt:i4>5</vt:i4>
      </vt:variant>
      <vt:variant>
        <vt:lpwstr>https://www.legalaid.tas.gov.au/</vt:lpwstr>
      </vt:variant>
      <vt:variant>
        <vt:lpwstr/>
      </vt:variant>
      <vt:variant>
        <vt:i4>4522077</vt:i4>
      </vt:variant>
      <vt:variant>
        <vt:i4>57</vt:i4>
      </vt:variant>
      <vt:variant>
        <vt:i4>0</vt:i4>
      </vt:variant>
      <vt:variant>
        <vt:i4>5</vt:i4>
      </vt:variant>
      <vt:variant>
        <vt:lpwstr>https://vals.org.au/</vt:lpwstr>
      </vt:variant>
      <vt:variant>
        <vt:lpwstr/>
      </vt:variant>
      <vt:variant>
        <vt:i4>196627</vt:i4>
      </vt:variant>
      <vt:variant>
        <vt:i4>54</vt:i4>
      </vt:variant>
      <vt:variant>
        <vt:i4>0</vt:i4>
      </vt:variant>
      <vt:variant>
        <vt:i4>5</vt:i4>
      </vt:variant>
      <vt:variant>
        <vt:lpwstr>https://www.legalaid.vic.gov.au/</vt:lpwstr>
      </vt:variant>
      <vt:variant>
        <vt:lpwstr/>
      </vt:variant>
      <vt:variant>
        <vt:i4>6291513</vt:i4>
      </vt:variant>
      <vt:variant>
        <vt:i4>51</vt:i4>
      </vt:variant>
      <vt:variant>
        <vt:i4>0</vt:i4>
      </vt:variant>
      <vt:variant>
        <vt:i4>5</vt:i4>
      </vt:variant>
      <vt:variant>
        <vt:lpwstr>https://www.atsils.org.au/</vt:lpwstr>
      </vt:variant>
      <vt:variant>
        <vt:lpwstr/>
      </vt:variant>
      <vt:variant>
        <vt:i4>589843</vt:i4>
      </vt:variant>
      <vt:variant>
        <vt:i4>48</vt:i4>
      </vt:variant>
      <vt:variant>
        <vt:i4>0</vt:i4>
      </vt:variant>
      <vt:variant>
        <vt:i4>5</vt:i4>
      </vt:variant>
      <vt:variant>
        <vt:lpwstr>https://www.legalaid.qld.gov.au/Home</vt:lpwstr>
      </vt:variant>
      <vt:variant>
        <vt:lpwstr/>
      </vt:variant>
      <vt:variant>
        <vt:i4>196700</vt:i4>
      </vt:variant>
      <vt:variant>
        <vt:i4>45</vt:i4>
      </vt:variant>
      <vt:variant>
        <vt:i4>0</vt:i4>
      </vt:variant>
      <vt:variant>
        <vt:i4>5</vt:i4>
      </vt:variant>
      <vt:variant>
        <vt:lpwstr>http://www.naaja.org.au/</vt:lpwstr>
      </vt:variant>
      <vt:variant>
        <vt:lpwstr/>
      </vt:variant>
      <vt:variant>
        <vt:i4>3997796</vt:i4>
      </vt:variant>
      <vt:variant>
        <vt:i4>42</vt:i4>
      </vt:variant>
      <vt:variant>
        <vt:i4>0</vt:i4>
      </vt:variant>
      <vt:variant>
        <vt:i4>5</vt:i4>
      </vt:variant>
      <vt:variant>
        <vt:lpwstr>https://www.legalaid.nt.gov.au/</vt:lpwstr>
      </vt:variant>
      <vt:variant>
        <vt:lpwstr/>
      </vt:variant>
      <vt:variant>
        <vt:i4>5832797</vt:i4>
      </vt:variant>
      <vt:variant>
        <vt:i4>39</vt:i4>
      </vt:variant>
      <vt:variant>
        <vt:i4>0</vt:i4>
      </vt:variant>
      <vt:variant>
        <vt:i4>5</vt:i4>
      </vt:variant>
      <vt:variant>
        <vt:lpwstr>https://www.alsnswact.org.au/</vt:lpwstr>
      </vt:variant>
      <vt:variant>
        <vt:lpwstr/>
      </vt:variant>
      <vt:variant>
        <vt:i4>983049</vt:i4>
      </vt:variant>
      <vt:variant>
        <vt:i4>36</vt:i4>
      </vt:variant>
      <vt:variant>
        <vt:i4>0</vt:i4>
      </vt:variant>
      <vt:variant>
        <vt:i4>5</vt:i4>
      </vt:variant>
      <vt:variant>
        <vt:lpwstr>https://www.legalaid.nsw.gov.au/</vt:lpwstr>
      </vt:variant>
      <vt:variant>
        <vt:lpwstr/>
      </vt:variant>
      <vt:variant>
        <vt:i4>2949170</vt:i4>
      </vt:variant>
      <vt:variant>
        <vt:i4>33</vt:i4>
      </vt:variant>
      <vt:variant>
        <vt:i4>0</vt:i4>
      </vt:variant>
      <vt:variant>
        <vt:i4>5</vt:i4>
      </vt:variant>
      <vt:variant>
        <vt:lpwstr>https://www.legalaidact.org.au/</vt:lpwstr>
      </vt:variant>
      <vt:variant>
        <vt:lpwstr/>
      </vt:variant>
      <vt:variant>
        <vt:i4>6291497</vt:i4>
      </vt:variant>
      <vt:variant>
        <vt:i4>30</vt:i4>
      </vt:variant>
      <vt:variant>
        <vt:i4>0</vt:i4>
      </vt:variant>
      <vt:variant>
        <vt:i4>5</vt:i4>
      </vt:variant>
      <vt:variant>
        <vt:lpwstr>https://clcs.org.au/our-people</vt:lpwstr>
      </vt:variant>
      <vt:variant>
        <vt:lpwstr/>
      </vt:variant>
      <vt:variant>
        <vt:i4>7733351</vt:i4>
      </vt:variant>
      <vt:variant>
        <vt:i4>27</vt:i4>
      </vt:variant>
      <vt:variant>
        <vt:i4>0</vt:i4>
      </vt:variant>
      <vt:variant>
        <vt:i4>5</vt:i4>
      </vt:variant>
      <vt:variant>
        <vt:lpwstr>https://www.fwc.gov.au/about-us/consultation/stopping-sexual-harassment-at-work</vt:lpwstr>
      </vt:variant>
      <vt:variant>
        <vt:lpwstr/>
      </vt:variant>
      <vt:variant>
        <vt:i4>5570654</vt:i4>
      </vt:variant>
      <vt:variant>
        <vt:i4>24</vt:i4>
      </vt:variant>
      <vt:variant>
        <vt:i4>0</vt:i4>
      </vt:variant>
      <vt:variant>
        <vt:i4>5</vt:i4>
      </vt:variant>
      <vt:variant>
        <vt:lpwstr>https://humanrights.gov.au/complaints/make-complaint</vt:lpwstr>
      </vt:variant>
      <vt:variant>
        <vt:lpwstr/>
      </vt:variant>
      <vt:variant>
        <vt:i4>5439563</vt:i4>
      </vt:variant>
      <vt:variant>
        <vt:i4>21</vt:i4>
      </vt:variant>
      <vt:variant>
        <vt:i4>0</vt:i4>
      </vt:variant>
      <vt:variant>
        <vt:i4>5</vt:i4>
      </vt:variant>
      <vt:variant>
        <vt:lpwstr>https://www.ccca.com.au/content/services</vt:lpwstr>
      </vt:variant>
      <vt:variant>
        <vt:lpwstr/>
      </vt:variant>
      <vt:variant>
        <vt:i4>6291528</vt:i4>
      </vt:variant>
      <vt:variant>
        <vt:i4>18</vt:i4>
      </vt:variant>
      <vt:variant>
        <vt:i4>0</vt:i4>
      </vt:variant>
      <vt:variant>
        <vt:i4>5</vt:i4>
      </vt:variant>
      <vt:variant>
        <vt:lpwstr>https://blueknot.org.au/wp-content/uploads/2021/08/26_BK_FS_TalkingAboutTrauma_GeneralPublic_JULY21.pdf</vt:lpwstr>
      </vt:variant>
      <vt:variant>
        <vt:lpwstr/>
      </vt:variant>
      <vt:variant>
        <vt:i4>1114115</vt:i4>
      </vt:variant>
      <vt:variant>
        <vt:i4>15</vt:i4>
      </vt:variant>
      <vt:variant>
        <vt:i4>0</vt:i4>
      </vt:variant>
      <vt:variant>
        <vt:i4>5</vt:i4>
      </vt:variant>
      <vt:variant>
        <vt:lpwstr>https://msb.org.au/mediators</vt:lpwstr>
      </vt:variant>
      <vt:variant>
        <vt:lpwstr/>
      </vt:variant>
      <vt:variant>
        <vt:i4>7667759</vt:i4>
      </vt:variant>
      <vt:variant>
        <vt:i4>12</vt:i4>
      </vt:variant>
      <vt:variant>
        <vt:i4>0</vt:i4>
      </vt:variant>
      <vt:variant>
        <vt:i4>5</vt:i4>
      </vt:variant>
      <vt:variant>
        <vt:lpwstr>https://www.probonocentre.org.au/legal-help/individual/</vt:lpwstr>
      </vt:variant>
      <vt:variant>
        <vt:lpwstr/>
      </vt:variant>
      <vt:variant>
        <vt:i4>6750259</vt:i4>
      </vt:variant>
      <vt:variant>
        <vt:i4>3</vt:i4>
      </vt:variant>
      <vt:variant>
        <vt:i4>0</vt:i4>
      </vt:variant>
      <vt:variant>
        <vt:i4>5</vt:i4>
      </vt:variant>
      <vt:variant>
        <vt:lpwstr>https://www.comcare.gov.au/about/forms-publications/documents/publications/safety/workplace-sexual-harassment-regulatory-guidance-for-employers-on-whs-responsibilities.pdf</vt:lpwstr>
      </vt:variant>
      <vt:variant>
        <vt:lpwstr/>
      </vt:variant>
      <vt:variant>
        <vt:i4>4522059</vt:i4>
      </vt:variant>
      <vt:variant>
        <vt:i4>0</vt:i4>
      </vt:variant>
      <vt:variant>
        <vt:i4>0</vt:i4>
      </vt:variant>
      <vt:variant>
        <vt:i4>5</vt:i4>
      </vt:variant>
      <vt:variant>
        <vt:lpwstr>https://www.safeworkaustralia.gov.au/safety-topic/hazards/workplace-sexual-harassment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clauses</dc:title>
  <dc:subject/>
  <dc:creator>Aurorae, Sara</dc:creator>
  <cp:keywords/>
  <dc:description/>
  <cp:lastModifiedBy>Hawkins, Georgia</cp:lastModifiedBy>
  <cp:revision>2</cp:revision>
  <cp:lastPrinted>2022-08-05T03:06:00Z</cp:lastPrinted>
  <dcterms:created xsi:type="dcterms:W3CDTF">2022-12-13T00:21:00Z</dcterms:created>
  <dcterms:modified xsi:type="dcterms:W3CDTF">2022-12-13T00:21:00Z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iManageRef">
    <vt:lpwstr>Updated</vt:lpwstr>
  </property>
  <property fmtid="{D5CDD505-2E9C-101B-9397-08002B2CF9AE}" pid="6" name="LeadingLawyers">
    <vt:lpwstr>Removed</vt:lpwstr>
  </property>
  <property fmtid="{D5CDD505-2E9C-101B-9397-08002B2CF9AE}" pid="7" name="ContentTypeId">
    <vt:lpwstr>0x01010050F4E3D60210BB4E8C0DF00A1276A942</vt:lpwstr>
  </property>
  <property fmtid="{D5CDD505-2E9C-101B-9397-08002B2CF9AE}" pid="8" name="TaxKeyword">
    <vt:lpwstr/>
  </property>
  <property fmtid="{D5CDD505-2E9C-101B-9397-08002B2CF9AE}" pid="9" name="_dlc_DocIdItemGuid">
    <vt:lpwstr>47f979d1-d278-40c3-9558-64ebdf063ddd</vt:lpwstr>
  </property>
  <property fmtid="{D5CDD505-2E9C-101B-9397-08002B2CF9AE}" pid="10" name="TaxKeywordTaxHTField">
    <vt:lpwstr/>
  </property>
  <property fmtid="{D5CDD505-2E9C-101B-9397-08002B2CF9AE}" pid="11" name="Document Type">
    <vt:lpwstr/>
  </property>
</Properties>
</file>