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051DB" w14:textId="512CBEF7" w:rsidR="0090570B" w:rsidRDefault="00565F5C" w:rsidP="00803476">
      <w:pPr>
        <w:pStyle w:val="Heading1"/>
      </w:pPr>
      <w:r w:rsidRPr="00565F5C">
        <w:t>Guideli</w:t>
      </w:r>
      <w:bookmarkStart w:id="0" w:name="_GoBack"/>
      <w:bookmarkEnd w:id="0"/>
      <w:r w:rsidRPr="00565F5C">
        <w:t xml:space="preserve">nes on the </w:t>
      </w:r>
      <w:r w:rsidR="003005C8">
        <w:t>U</w:t>
      </w:r>
      <w:r w:rsidRPr="00565F5C">
        <w:t xml:space="preserve">se of </w:t>
      </w:r>
      <w:r w:rsidR="003005C8">
        <w:t>C</w:t>
      </w:r>
      <w:r w:rsidRPr="00565F5C">
        <w:t xml:space="preserve">onfidentiality </w:t>
      </w:r>
      <w:r w:rsidR="003005C8">
        <w:t>C</w:t>
      </w:r>
      <w:r w:rsidRPr="00565F5C">
        <w:t xml:space="preserve">lauses in the </w:t>
      </w:r>
      <w:r w:rsidR="003005C8">
        <w:t>R</w:t>
      </w:r>
      <w:r w:rsidRPr="00565F5C">
        <w:t xml:space="preserve">esolution of </w:t>
      </w:r>
      <w:r w:rsidR="003005C8">
        <w:t>W</w:t>
      </w:r>
      <w:r w:rsidRPr="00565F5C">
        <w:t xml:space="preserve">orkplace </w:t>
      </w:r>
      <w:r w:rsidR="003005C8">
        <w:t>S</w:t>
      </w:r>
      <w:r w:rsidRPr="00565F5C">
        <w:t xml:space="preserve">exual </w:t>
      </w:r>
      <w:r w:rsidR="003005C8">
        <w:t>H</w:t>
      </w:r>
      <w:r w:rsidRPr="00565F5C">
        <w:t xml:space="preserve">arassment </w:t>
      </w:r>
      <w:r w:rsidR="003005C8">
        <w:t>C</w:t>
      </w:r>
      <w:r w:rsidRPr="00565F5C">
        <w:t>omplaints</w:t>
      </w:r>
      <w:r>
        <w:t xml:space="preserve"> – Fact </w:t>
      </w:r>
      <w:r w:rsidR="00564090">
        <w:t>S</w:t>
      </w:r>
      <w:r>
        <w:t xml:space="preserve">heet for </w:t>
      </w:r>
      <w:r w:rsidR="00564090">
        <w:t>L</w:t>
      </w:r>
      <w:r w:rsidR="0038167E">
        <w:t>awyers</w:t>
      </w:r>
    </w:p>
    <w:p w14:paraId="19B116E7" w14:textId="5BAB4807" w:rsidR="00565F5C" w:rsidRDefault="00565F5C">
      <w:r w:rsidRPr="00565F5C">
        <w:t xml:space="preserve">This fact sheet complements the </w:t>
      </w:r>
      <w:r w:rsidRPr="00EA0CD1">
        <w:rPr>
          <w:i/>
        </w:rPr>
        <w:t xml:space="preserve">Guidelines on the Use of Confidentiality Clauses in the Resolution of </w:t>
      </w:r>
      <w:r w:rsidR="002F2FA6" w:rsidRPr="00EA0CD1">
        <w:rPr>
          <w:i/>
        </w:rPr>
        <w:t>W</w:t>
      </w:r>
      <w:r w:rsidR="00AB123F" w:rsidRPr="00EA0CD1">
        <w:rPr>
          <w:i/>
        </w:rPr>
        <w:t xml:space="preserve">orkplace </w:t>
      </w:r>
      <w:r w:rsidRPr="00EA0CD1">
        <w:rPr>
          <w:i/>
        </w:rPr>
        <w:t>Sexual Harassment Complaints</w:t>
      </w:r>
      <w:r w:rsidRPr="00565F5C">
        <w:t>.</w:t>
      </w:r>
    </w:p>
    <w:p w14:paraId="736D4434" w14:textId="2CD4BFD0" w:rsidR="002E582C" w:rsidRDefault="002E582C" w:rsidP="00F34A39">
      <w:pPr>
        <w:pStyle w:val="Heading2"/>
      </w:pPr>
      <w:r>
        <w:t>Rethinking</w:t>
      </w:r>
      <w:r w:rsidR="00BC715F">
        <w:t xml:space="preserve"> the use of</w:t>
      </w:r>
      <w:r>
        <w:t xml:space="preserve"> confidentiality clauses</w:t>
      </w:r>
      <w:r w:rsidR="00BC715F">
        <w:t xml:space="preserve"> in workplace sexual harassment settlements</w:t>
      </w:r>
    </w:p>
    <w:p w14:paraId="006AE37F" w14:textId="558B39BC" w:rsidR="00261921" w:rsidRPr="00AE02C0" w:rsidRDefault="00261921" w:rsidP="00261921">
      <w:pPr>
        <w:rPr>
          <w:rFonts w:cstheme="minorHAnsi"/>
          <w:lang w:val="en-GB"/>
        </w:rPr>
      </w:pPr>
      <w:r w:rsidRPr="00AE02C0">
        <w:rPr>
          <w:rFonts w:cstheme="minorHAnsi"/>
          <w:lang w:val="en-GB"/>
        </w:rPr>
        <w:t xml:space="preserve">Confidentiality clauses </w:t>
      </w:r>
      <w:r w:rsidR="007552BC">
        <w:rPr>
          <w:rFonts w:cstheme="minorHAnsi"/>
          <w:lang w:val="en-GB"/>
        </w:rPr>
        <w:t xml:space="preserve">should not be seen as a </w:t>
      </w:r>
      <w:r w:rsidRPr="00AE02C0">
        <w:rPr>
          <w:rFonts w:cstheme="minorHAnsi"/>
          <w:lang w:val="en-GB"/>
        </w:rPr>
        <w:t>standard term of workplace sexual harassment settlement agreements and should be used</w:t>
      </w:r>
      <w:r w:rsidR="007552BC">
        <w:rPr>
          <w:rFonts w:cstheme="minorHAnsi"/>
          <w:lang w:val="en-GB"/>
        </w:rPr>
        <w:t xml:space="preserve"> on a case-by-case basis</w:t>
      </w:r>
      <w:r w:rsidRPr="00AE02C0">
        <w:rPr>
          <w:rFonts w:cstheme="minorHAnsi"/>
          <w:lang w:val="en-GB"/>
        </w:rPr>
        <w:t xml:space="preserve">. </w:t>
      </w:r>
    </w:p>
    <w:p w14:paraId="511EBD21" w14:textId="35E09CF1" w:rsidR="002E582C" w:rsidRPr="00E61ADC" w:rsidRDefault="002E582C" w:rsidP="002E582C">
      <w:pPr>
        <w:rPr>
          <w:rFonts w:ascii="Calibri" w:hAnsi="Calibri" w:cs="Calibri"/>
          <w:lang w:val="en-GB"/>
        </w:rPr>
      </w:pPr>
      <w:r w:rsidRPr="00E61ADC">
        <w:rPr>
          <w:rFonts w:ascii="Calibri" w:hAnsi="Calibri" w:cs="Calibri"/>
          <w:lang w:val="en-GB"/>
        </w:rPr>
        <w:t xml:space="preserve">Confidentiality clauses that </w:t>
      </w:r>
      <w:r w:rsidR="00D24860">
        <w:rPr>
          <w:rFonts w:ascii="Calibri" w:hAnsi="Calibri" w:cs="Calibri"/>
          <w:lang w:val="en-GB"/>
        </w:rPr>
        <w:t>require</w:t>
      </w:r>
      <w:r w:rsidR="00D24860" w:rsidRPr="00E61ADC">
        <w:rPr>
          <w:rFonts w:ascii="Calibri" w:hAnsi="Calibri" w:cs="Calibri"/>
          <w:lang w:val="en-GB"/>
        </w:rPr>
        <w:t xml:space="preserve"> </w:t>
      </w:r>
      <w:r w:rsidRPr="00E61ADC">
        <w:rPr>
          <w:rFonts w:ascii="Calibri" w:hAnsi="Calibri" w:cs="Calibri"/>
          <w:lang w:val="en-GB"/>
        </w:rPr>
        <w:t xml:space="preserve">silence over transparency can have long-term impacts on the mental health and wellbeing of complainants. They may also enable harassers to continue their behaviour and compromise employers’ ability to prevent sexual harassment in the workplace. </w:t>
      </w:r>
    </w:p>
    <w:p w14:paraId="0BAB1C57" w14:textId="20837574" w:rsidR="002E582C" w:rsidRDefault="002E582C" w:rsidP="002E582C">
      <w:pPr>
        <w:rPr>
          <w:rFonts w:ascii="Calibri" w:hAnsi="Calibri" w:cs="Calibri"/>
          <w:lang w:val="en-GB"/>
        </w:rPr>
      </w:pPr>
      <w:r w:rsidRPr="00E61ADC">
        <w:rPr>
          <w:rFonts w:ascii="Calibri" w:hAnsi="Calibri" w:cs="Calibri"/>
          <w:lang w:val="en-GB"/>
        </w:rPr>
        <w:t>There are regulatory, ethical and reputational risks to consider when dealing with confidentiality in the settlement of sexual harassment complaints.</w:t>
      </w:r>
    </w:p>
    <w:p w14:paraId="49168F48" w14:textId="04AF6144" w:rsidR="00A36E0B" w:rsidRDefault="00A36E0B" w:rsidP="00F34A39">
      <w:pPr>
        <w:pStyle w:val="Heading2"/>
      </w:pPr>
      <w:bookmarkStart w:id="1" w:name="_Hlk115269408"/>
      <w:r w:rsidRPr="00565F5C">
        <w:t xml:space="preserve">Guidelines on the </w:t>
      </w:r>
      <w:r w:rsidR="003005C8">
        <w:t>U</w:t>
      </w:r>
      <w:r w:rsidRPr="00565F5C">
        <w:t xml:space="preserve">se of </w:t>
      </w:r>
      <w:r w:rsidR="003005C8">
        <w:t>C</w:t>
      </w:r>
      <w:r w:rsidR="00673FC6">
        <w:t>o</w:t>
      </w:r>
      <w:r w:rsidRPr="00565F5C">
        <w:t xml:space="preserve">nfidentiality </w:t>
      </w:r>
      <w:r w:rsidR="003005C8">
        <w:t>C</w:t>
      </w:r>
      <w:r w:rsidRPr="00565F5C">
        <w:t xml:space="preserve">lauses in the </w:t>
      </w:r>
      <w:r w:rsidR="003005C8">
        <w:t>R</w:t>
      </w:r>
      <w:r w:rsidRPr="00565F5C">
        <w:t xml:space="preserve">esolution of </w:t>
      </w:r>
      <w:r w:rsidR="003005C8">
        <w:t>W</w:t>
      </w:r>
      <w:r w:rsidR="0035130C">
        <w:t xml:space="preserve">orkplace </w:t>
      </w:r>
      <w:r w:rsidR="003005C8">
        <w:t>S</w:t>
      </w:r>
      <w:r w:rsidRPr="00565F5C">
        <w:t>exual Harassment Complaints</w:t>
      </w:r>
    </w:p>
    <w:p w14:paraId="45AC39E1" w14:textId="6ED973CB" w:rsidR="00645F78" w:rsidRDefault="008C2EDD" w:rsidP="008C2EDD">
      <w:r>
        <w:rPr>
          <w:rFonts w:ascii="Calibri" w:hAnsi="Calibri" w:cs="Calibri"/>
          <w:lang w:val="en-GB"/>
        </w:rPr>
        <w:t xml:space="preserve">When you are advising your clients on workplace sexual harassment settlement agreements, you should consider the </w:t>
      </w:r>
      <w:r w:rsidR="00A36E0B" w:rsidRPr="00EA0CD1">
        <w:rPr>
          <w:i/>
          <w:lang w:val="en-GB"/>
        </w:rPr>
        <w:t xml:space="preserve">Guidelines </w:t>
      </w:r>
      <w:r w:rsidR="00A36E0B" w:rsidRPr="00EA0CD1">
        <w:rPr>
          <w:i/>
        </w:rPr>
        <w:t>on the Use of Confidentiality Clauses in the Resolution of</w:t>
      </w:r>
      <w:r w:rsidR="000F3F69" w:rsidRPr="00EA0CD1">
        <w:rPr>
          <w:i/>
        </w:rPr>
        <w:t xml:space="preserve"> Workplace</w:t>
      </w:r>
      <w:r w:rsidR="00A36E0B" w:rsidRPr="00EA0CD1">
        <w:rPr>
          <w:i/>
        </w:rPr>
        <w:t xml:space="preserve"> Sexual Harassment Complaints</w:t>
      </w:r>
      <w:r>
        <w:t>. These Guidelines</w:t>
      </w:r>
      <w:r w:rsidR="00A36E0B">
        <w:t xml:space="preserve"> set</w:t>
      </w:r>
      <w:r>
        <w:t xml:space="preserve"> </w:t>
      </w:r>
      <w:r w:rsidR="00A36E0B">
        <w:t>out an approach to negotiating a settlement agreement to resolve an allegation of workplace sexual harassment</w:t>
      </w:r>
      <w:r>
        <w:t xml:space="preserve">, which aims to ensure the appropriate use of confidentiality clauses. The approach </w:t>
      </w:r>
      <w:r w:rsidR="00925F89">
        <w:t>involves the following principles</w:t>
      </w:r>
      <w:r>
        <w:t>:</w:t>
      </w:r>
    </w:p>
    <w:p w14:paraId="2F365277" w14:textId="77777777" w:rsidR="00A36E0B" w:rsidRPr="00997738" w:rsidRDefault="00A36E0B" w:rsidP="00A36E0B">
      <w:pPr>
        <w:numPr>
          <w:ilvl w:val="0"/>
          <w:numId w:val="6"/>
        </w:numPr>
        <w:spacing w:after="0"/>
      </w:pPr>
      <w:r w:rsidRPr="00997738">
        <w:t xml:space="preserve">Consider the need for a confidentiality clause on a case-by-case basis. </w:t>
      </w:r>
    </w:p>
    <w:p w14:paraId="52067C5E" w14:textId="77777777" w:rsidR="00A36E0B" w:rsidRPr="00997738" w:rsidRDefault="00A36E0B" w:rsidP="00A36E0B">
      <w:pPr>
        <w:numPr>
          <w:ilvl w:val="0"/>
          <w:numId w:val="6"/>
        </w:numPr>
        <w:spacing w:after="0"/>
      </w:pPr>
      <w:r w:rsidRPr="00997738">
        <w:t xml:space="preserve">The scope and duration of the confidentiality clause should be as limited as possible. </w:t>
      </w:r>
    </w:p>
    <w:p w14:paraId="5DDDFF05" w14:textId="77777777" w:rsidR="00A36E0B" w:rsidRPr="00997738" w:rsidRDefault="00A36E0B" w:rsidP="00A36E0B">
      <w:pPr>
        <w:numPr>
          <w:ilvl w:val="0"/>
          <w:numId w:val="6"/>
        </w:numPr>
        <w:spacing w:after="0"/>
      </w:pPr>
      <w:r w:rsidRPr="00997738">
        <w:t>Confidentiality clauses should not prevent organisations from responding to systemic issues and providing a safer workplace.</w:t>
      </w:r>
    </w:p>
    <w:p w14:paraId="288D554F" w14:textId="5932C6F9" w:rsidR="00A36E0B" w:rsidRPr="00997738" w:rsidRDefault="0035130C" w:rsidP="00A36E0B">
      <w:pPr>
        <w:numPr>
          <w:ilvl w:val="0"/>
          <w:numId w:val="6"/>
        </w:numPr>
        <w:spacing w:after="0"/>
      </w:pPr>
      <w:r>
        <w:t>A</w:t>
      </w:r>
      <w:r w:rsidR="00A36E0B" w:rsidRPr="00997738">
        <w:t xml:space="preserve">ll clauses in a settlement agreement </w:t>
      </w:r>
      <w:r>
        <w:t xml:space="preserve">should </w:t>
      </w:r>
      <w:r w:rsidR="002E3B27">
        <w:t xml:space="preserve">be </w:t>
      </w:r>
      <w:r w:rsidR="00325362">
        <w:t>clear,</w:t>
      </w:r>
      <w:r w:rsidR="00A36E0B" w:rsidRPr="00997738">
        <w:t xml:space="preserve"> fair, in plain English and, where necessary, translated</w:t>
      </w:r>
      <w:r w:rsidR="00293ED7">
        <w:t xml:space="preserve"> and/or interpreted</w:t>
      </w:r>
      <w:r w:rsidR="00A36E0B" w:rsidRPr="00997738">
        <w:t xml:space="preserve">. </w:t>
      </w:r>
    </w:p>
    <w:p w14:paraId="510E8027" w14:textId="77777777" w:rsidR="00A36E0B" w:rsidRPr="00997738" w:rsidRDefault="00A36E0B" w:rsidP="00A36E0B">
      <w:pPr>
        <w:numPr>
          <w:ilvl w:val="0"/>
          <w:numId w:val="6"/>
        </w:numPr>
        <w:spacing w:after="0"/>
      </w:pPr>
      <w:r w:rsidRPr="00997738">
        <w:t xml:space="preserve">The person who made the allegation should have access to independent support or advice to ensure they fully understand the meaning and impact of the settlement agreement, including any confidentiality clause. </w:t>
      </w:r>
    </w:p>
    <w:p w14:paraId="34574ACF" w14:textId="298E7DF3" w:rsidR="00A36E0B" w:rsidRDefault="00A36E0B" w:rsidP="00A36E0B">
      <w:pPr>
        <w:numPr>
          <w:ilvl w:val="0"/>
          <w:numId w:val="6"/>
        </w:numPr>
        <w:spacing w:after="0"/>
      </w:pPr>
      <w:r w:rsidRPr="00997738">
        <w:t>Negotiations about the terms of a settlement agreement should ensure</w:t>
      </w:r>
      <w:r w:rsidR="00D24860">
        <w:t xml:space="preserve"> so far as possible</w:t>
      </w:r>
      <w:r w:rsidRPr="00997738">
        <w:t xml:space="preserve"> the wellbeing and safety of the person who made the allegation, and be trauma-informed, culturally sensitive and intersectional.</w:t>
      </w:r>
    </w:p>
    <w:bookmarkEnd w:id="1"/>
    <w:p w14:paraId="0AEEA37F" w14:textId="54C3921C" w:rsidR="002E582C" w:rsidRPr="002E582C" w:rsidRDefault="002E582C" w:rsidP="00F34A39">
      <w:pPr>
        <w:pStyle w:val="Heading2"/>
        <w:rPr>
          <w:rFonts w:eastAsia="Verdana"/>
        </w:rPr>
      </w:pPr>
      <w:r>
        <w:rPr>
          <w:rFonts w:eastAsia="Verdana"/>
        </w:rPr>
        <w:t xml:space="preserve">Questions </w:t>
      </w:r>
      <w:r w:rsidR="00913CFB">
        <w:rPr>
          <w:rFonts w:eastAsia="Verdana"/>
        </w:rPr>
        <w:t xml:space="preserve">to consider </w:t>
      </w:r>
    </w:p>
    <w:p w14:paraId="4B851EB8" w14:textId="0537CE89" w:rsidR="0035130C" w:rsidRDefault="0035130C" w:rsidP="00406FBF">
      <w:pPr>
        <w:pStyle w:val="ListParagraph"/>
        <w:numPr>
          <w:ilvl w:val="0"/>
          <w:numId w:val="15"/>
        </w:numPr>
        <w:rPr>
          <w:lang w:val="en-GB"/>
        </w:rPr>
      </w:pPr>
      <w:r>
        <w:rPr>
          <w:lang w:val="en-GB"/>
        </w:rPr>
        <w:t>Have I been trained in trauma-informed practice in relation to sexual harassment complaints?</w:t>
      </w:r>
    </w:p>
    <w:p w14:paraId="09751748" w14:textId="2A7AA68F" w:rsidR="008C2EDD" w:rsidRPr="008C2EDD" w:rsidRDefault="008C2EDD" w:rsidP="00406FBF">
      <w:pPr>
        <w:pStyle w:val="ListParagraph"/>
        <w:numPr>
          <w:ilvl w:val="0"/>
          <w:numId w:val="15"/>
        </w:numPr>
        <w:rPr>
          <w:lang w:val="en-GB"/>
        </w:rPr>
      </w:pPr>
      <w:r w:rsidRPr="008C2EDD">
        <w:rPr>
          <w:lang w:val="en-GB"/>
        </w:rPr>
        <w:t xml:space="preserve">Have I advised my client </w:t>
      </w:r>
      <w:r w:rsidR="000A3046">
        <w:rPr>
          <w:lang w:val="en-GB"/>
        </w:rPr>
        <w:t xml:space="preserve">about </w:t>
      </w:r>
      <w:r w:rsidRPr="008C2EDD">
        <w:rPr>
          <w:lang w:val="en-GB"/>
        </w:rPr>
        <w:t xml:space="preserve">the </w:t>
      </w:r>
      <w:r w:rsidRPr="00EA0CD1">
        <w:rPr>
          <w:i/>
          <w:lang w:val="en-GB"/>
        </w:rPr>
        <w:t xml:space="preserve">Guidelines on the Use of Confidentiality Clauses in the Resolution of </w:t>
      </w:r>
      <w:r w:rsidR="00293ED7">
        <w:rPr>
          <w:i/>
          <w:lang w:val="en-GB"/>
        </w:rPr>
        <w:t xml:space="preserve">Workplace </w:t>
      </w:r>
      <w:r w:rsidRPr="00EA0CD1">
        <w:rPr>
          <w:i/>
          <w:lang w:val="en-GB"/>
        </w:rPr>
        <w:t>Sexual Harassment Complaints</w:t>
      </w:r>
      <w:r>
        <w:rPr>
          <w:lang w:val="en-GB"/>
        </w:rPr>
        <w:t xml:space="preserve">? </w:t>
      </w:r>
    </w:p>
    <w:p w14:paraId="3D854F31" w14:textId="007225F6" w:rsidR="008C2EDD" w:rsidRDefault="008C2EDD" w:rsidP="00406FBF">
      <w:pPr>
        <w:pStyle w:val="ListParagraph"/>
        <w:numPr>
          <w:ilvl w:val="0"/>
          <w:numId w:val="15"/>
        </w:numPr>
        <w:rPr>
          <w:lang w:val="en-GB"/>
        </w:rPr>
      </w:pPr>
      <w:bookmarkStart w:id="2" w:name="_Hlk92446684"/>
      <w:r w:rsidRPr="008C2EDD">
        <w:rPr>
          <w:lang w:val="en-GB"/>
        </w:rPr>
        <w:t>Is a confidentiality clause necessary in this matter, and if so, why?</w:t>
      </w:r>
    </w:p>
    <w:p w14:paraId="3626FFBF" w14:textId="330F120F" w:rsidR="0035130C" w:rsidRDefault="0035130C" w:rsidP="00406FBF">
      <w:pPr>
        <w:pStyle w:val="ListParagraph"/>
        <w:numPr>
          <w:ilvl w:val="0"/>
          <w:numId w:val="15"/>
        </w:numPr>
        <w:rPr>
          <w:lang w:val="en-GB"/>
        </w:rPr>
      </w:pPr>
      <w:r>
        <w:rPr>
          <w:lang w:val="en-GB"/>
        </w:rPr>
        <w:t>How will a confidentiality clause affect the safety and wellbeing of the person who made the allegation</w:t>
      </w:r>
      <w:r w:rsidR="00A64D9B">
        <w:rPr>
          <w:lang w:val="en-GB"/>
        </w:rPr>
        <w:t xml:space="preserve"> and any witnesses</w:t>
      </w:r>
      <w:r>
        <w:rPr>
          <w:lang w:val="en-GB"/>
        </w:rPr>
        <w:t>?</w:t>
      </w:r>
    </w:p>
    <w:p w14:paraId="35EAD2E5" w14:textId="2A110892" w:rsidR="008C2EDD" w:rsidRPr="008C2EDD" w:rsidRDefault="008C2EDD" w:rsidP="00406FBF">
      <w:pPr>
        <w:pStyle w:val="ListParagraph"/>
        <w:numPr>
          <w:ilvl w:val="0"/>
          <w:numId w:val="15"/>
        </w:numPr>
        <w:rPr>
          <w:lang w:val="en-GB"/>
        </w:rPr>
      </w:pPr>
      <w:r w:rsidRPr="008C2EDD">
        <w:rPr>
          <w:lang w:val="en-GB"/>
        </w:rPr>
        <w:lastRenderedPageBreak/>
        <w:t>Does</w:t>
      </w:r>
      <w:r w:rsidR="003D2BFA">
        <w:rPr>
          <w:lang w:val="en-GB"/>
        </w:rPr>
        <w:t xml:space="preserve"> and should</w:t>
      </w:r>
      <w:r w:rsidRPr="008C2EDD">
        <w:rPr>
          <w:lang w:val="en-GB"/>
        </w:rPr>
        <w:t xml:space="preserve"> the confidentiality clause allow the person who made the allegation to talk to their family members, medical or mental health practitioners, regulators </w:t>
      </w:r>
      <w:r w:rsidR="00571285">
        <w:rPr>
          <w:lang w:val="en-GB"/>
        </w:rPr>
        <w:t>or external authorities, law enforcement</w:t>
      </w:r>
      <w:r w:rsidR="00571285" w:rsidRPr="008C2EDD">
        <w:rPr>
          <w:lang w:val="en-GB"/>
        </w:rPr>
        <w:t xml:space="preserve"> </w:t>
      </w:r>
      <w:r w:rsidRPr="008C2EDD">
        <w:rPr>
          <w:lang w:val="en-GB"/>
        </w:rPr>
        <w:t>or others about the workplace sexual harassment complaint?</w:t>
      </w:r>
    </w:p>
    <w:p w14:paraId="20E9BF7D" w14:textId="46AA2567" w:rsidR="008C2EDD" w:rsidRPr="008C2EDD" w:rsidRDefault="0042207B" w:rsidP="00406FBF">
      <w:pPr>
        <w:pStyle w:val="ListParagraph"/>
        <w:numPr>
          <w:ilvl w:val="0"/>
          <w:numId w:val="15"/>
        </w:numPr>
        <w:rPr>
          <w:lang w:val="en-GB"/>
        </w:rPr>
      </w:pPr>
      <w:r>
        <w:rPr>
          <w:lang w:val="en-GB"/>
        </w:rPr>
        <w:t xml:space="preserve">Should </w:t>
      </w:r>
      <w:r w:rsidR="008C2EDD">
        <w:rPr>
          <w:lang w:val="en-GB"/>
        </w:rPr>
        <w:t xml:space="preserve">the confidentiality clause </w:t>
      </w:r>
      <w:r w:rsidR="00FF61A0">
        <w:rPr>
          <w:lang w:val="en-GB"/>
        </w:rPr>
        <w:t>end</w:t>
      </w:r>
      <w:r>
        <w:rPr>
          <w:lang w:val="en-GB"/>
        </w:rPr>
        <w:t xml:space="preserve"> after an agreed period of time</w:t>
      </w:r>
      <w:r w:rsidR="008C2EDD" w:rsidRPr="008C2EDD">
        <w:rPr>
          <w:lang w:val="en-GB"/>
        </w:rPr>
        <w:t xml:space="preserve">? </w:t>
      </w:r>
    </w:p>
    <w:p w14:paraId="3128386A" w14:textId="0FD89964" w:rsidR="000A3046" w:rsidRPr="000A3046" w:rsidRDefault="008C2EDD" w:rsidP="00406FBF">
      <w:pPr>
        <w:pStyle w:val="ListParagraph"/>
        <w:numPr>
          <w:ilvl w:val="0"/>
          <w:numId w:val="15"/>
        </w:numPr>
        <w:rPr>
          <w:lang w:val="en-GB"/>
        </w:rPr>
      </w:pPr>
      <w:r w:rsidRPr="000A3046">
        <w:rPr>
          <w:lang w:val="en-GB"/>
        </w:rPr>
        <w:t xml:space="preserve">If you are advising an employer/organisation, </w:t>
      </w:r>
      <w:r w:rsidR="005129C8">
        <w:rPr>
          <w:lang w:val="en-GB"/>
        </w:rPr>
        <w:t>wi</w:t>
      </w:r>
      <w:r w:rsidR="005129C8" w:rsidRPr="000A3046">
        <w:rPr>
          <w:lang w:val="en-GB"/>
        </w:rPr>
        <w:t>ll</w:t>
      </w:r>
      <w:r w:rsidR="000A3046" w:rsidRPr="000A3046">
        <w:rPr>
          <w:lang w:val="en-GB"/>
        </w:rPr>
        <w:t xml:space="preserve"> a confidentiality clause be inconsistent with </w:t>
      </w:r>
      <w:r w:rsidR="00EA0CD1">
        <w:rPr>
          <w:lang w:val="en-GB"/>
        </w:rPr>
        <w:t>their</w:t>
      </w:r>
      <w:r w:rsidR="000A3046" w:rsidRPr="000A3046">
        <w:rPr>
          <w:lang w:val="en-GB"/>
        </w:rPr>
        <w:t xml:space="preserve"> statutory duties (such as under the </w:t>
      </w:r>
      <w:r w:rsidR="000A3046" w:rsidRPr="005129C8">
        <w:rPr>
          <w:i/>
          <w:lang w:val="en-GB"/>
        </w:rPr>
        <w:t>Fair Work</w:t>
      </w:r>
      <w:r w:rsidR="0042207B" w:rsidRPr="005129C8">
        <w:rPr>
          <w:i/>
          <w:lang w:val="en-GB"/>
        </w:rPr>
        <w:t xml:space="preserve"> Act 2009</w:t>
      </w:r>
      <w:r w:rsidR="00815010">
        <w:rPr>
          <w:i/>
          <w:lang w:val="en-GB"/>
        </w:rPr>
        <w:t xml:space="preserve"> </w:t>
      </w:r>
      <w:r w:rsidR="00815010">
        <w:rPr>
          <w:lang w:val="en-GB"/>
        </w:rPr>
        <w:t>(Cth</w:t>
      </w:r>
      <w:r w:rsidR="00815010" w:rsidRPr="00815010">
        <w:rPr>
          <w:lang w:val="en-GB"/>
        </w:rPr>
        <w:t>)</w:t>
      </w:r>
      <w:r w:rsidR="000A3046" w:rsidRPr="00815010">
        <w:rPr>
          <w:lang w:val="en-GB"/>
        </w:rPr>
        <w:t>,</w:t>
      </w:r>
      <w:r w:rsidR="000A3046" w:rsidRPr="000A3046">
        <w:rPr>
          <w:lang w:val="en-GB"/>
        </w:rPr>
        <w:t xml:space="preserve"> discrimination law and </w:t>
      </w:r>
      <w:r w:rsidR="00325362">
        <w:rPr>
          <w:lang w:val="en-GB"/>
        </w:rPr>
        <w:t xml:space="preserve">work health and safety </w:t>
      </w:r>
      <w:r w:rsidR="000A3046" w:rsidRPr="000A3046">
        <w:rPr>
          <w:lang w:val="en-GB"/>
        </w:rPr>
        <w:t>law)</w:t>
      </w:r>
      <w:r w:rsidR="00571285">
        <w:rPr>
          <w:lang w:val="en-GB"/>
        </w:rPr>
        <w:t xml:space="preserve">, </w:t>
      </w:r>
      <w:r w:rsidR="00571285" w:rsidRPr="00F559B3">
        <w:rPr>
          <w:rFonts w:cstheme="minorHAnsi"/>
          <w:lang w:val="en-GB"/>
        </w:rPr>
        <w:t xml:space="preserve">or </w:t>
      </w:r>
      <w:r w:rsidR="00571285" w:rsidRPr="00F559B3">
        <w:rPr>
          <w:rFonts w:cstheme="minorHAnsi"/>
        </w:rPr>
        <w:t>limit the organisation’s ability to collect data on or report on allegations of sexual harassment</w:t>
      </w:r>
      <w:r w:rsidR="000A3046" w:rsidRPr="000A3046">
        <w:rPr>
          <w:lang w:val="en-GB"/>
        </w:rPr>
        <w:t>?</w:t>
      </w:r>
    </w:p>
    <w:p w14:paraId="3DED8B40" w14:textId="746480A3" w:rsidR="000A3046" w:rsidRPr="000A3046" w:rsidRDefault="000A3046" w:rsidP="00406FBF">
      <w:pPr>
        <w:pStyle w:val="ListParagraph"/>
        <w:numPr>
          <w:ilvl w:val="0"/>
          <w:numId w:val="15"/>
        </w:numPr>
        <w:rPr>
          <w:lang w:val="en-GB"/>
        </w:rPr>
      </w:pPr>
      <w:r w:rsidRPr="000A3046">
        <w:rPr>
          <w:lang w:val="en-GB"/>
        </w:rPr>
        <w:t xml:space="preserve">Is </w:t>
      </w:r>
      <w:r w:rsidR="00D24860">
        <w:rPr>
          <w:lang w:val="en-GB"/>
        </w:rPr>
        <w:t xml:space="preserve">the </w:t>
      </w:r>
      <w:r w:rsidRPr="000A3046">
        <w:rPr>
          <w:lang w:val="en-GB"/>
        </w:rPr>
        <w:t>settlement agreement clear, balanced and easy to understand</w:t>
      </w:r>
      <w:r>
        <w:rPr>
          <w:lang w:val="en-GB"/>
        </w:rPr>
        <w:t xml:space="preserve"> for all parties? </w:t>
      </w:r>
      <w:r w:rsidRPr="000A3046">
        <w:rPr>
          <w:lang w:val="en-GB"/>
        </w:rPr>
        <w:t xml:space="preserve"> </w:t>
      </w:r>
    </w:p>
    <w:p w14:paraId="5041E83A" w14:textId="416130DA" w:rsidR="000A3046" w:rsidRPr="000A3046" w:rsidRDefault="000A3046" w:rsidP="00406FBF">
      <w:pPr>
        <w:pStyle w:val="ListParagraph"/>
        <w:numPr>
          <w:ilvl w:val="0"/>
          <w:numId w:val="15"/>
        </w:numPr>
        <w:rPr>
          <w:lang w:val="en-GB"/>
        </w:rPr>
      </w:pPr>
      <w:r w:rsidRPr="000A3046">
        <w:rPr>
          <w:lang w:val="en-GB"/>
        </w:rPr>
        <w:t xml:space="preserve">Have </w:t>
      </w:r>
      <w:r w:rsidR="0042207B">
        <w:rPr>
          <w:lang w:val="en-GB"/>
        </w:rPr>
        <w:t xml:space="preserve">all </w:t>
      </w:r>
      <w:r w:rsidRPr="000A3046">
        <w:rPr>
          <w:lang w:val="en-GB"/>
        </w:rPr>
        <w:t xml:space="preserve">parties been given time </w:t>
      </w:r>
      <w:r>
        <w:rPr>
          <w:lang w:val="en-GB"/>
        </w:rPr>
        <w:t xml:space="preserve">and appropriate referrals to support services (including legal advice) </w:t>
      </w:r>
      <w:r w:rsidRPr="000A3046">
        <w:rPr>
          <w:lang w:val="en-GB"/>
        </w:rPr>
        <w:t>to understand their rights and obligations under the settlement agreement?</w:t>
      </w:r>
    </w:p>
    <w:bookmarkEnd w:id="2"/>
    <w:p w14:paraId="4B201752" w14:textId="77777777" w:rsidR="002E582C" w:rsidRDefault="002E582C" w:rsidP="00F34A39">
      <w:pPr>
        <w:pStyle w:val="Heading2"/>
        <w:rPr>
          <w:lang w:val="sr-Latn-RS"/>
        </w:rPr>
      </w:pPr>
      <w:r w:rsidRPr="00565F5C">
        <w:rPr>
          <w:lang w:val="sr-Latn-RS"/>
        </w:rPr>
        <w:t>Who</w:t>
      </w:r>
      <w:r>
        <w:rPr>
          <w:lang w:val="sr-Latn-RS"/>
        </w:rPr>
        <w:t xml:space="preserve"> can I </w:t>
      </w:r>
      <w:r w:rsidRPr="00565F5C">
        <w:rPr>
          <w:lang w:val="sr-Latn-RS"/>
        </w:rPr>
        <w:t>contact for more information or support?</w:t>
      </w:r>
    </w:p>
    <w:p w14:paraId="54280889" w14:textId="312F1793" w:rsidR="002E3B27" w:rsidRPr="006E6461" w:rsidRDefault="002E3B27" w:rsidP="007F7429">
      <w:pPr>
        <w:spacing w:before="120" w:after="240"/>
        <w:ind w:right="56"/>
        <w:rPr>
          <w:rFonts w:cstheme="majorHAnsi"/>
          <w:iCs/>
        </w:rPr>
      </w:pPr>
      <w:r w:rsidRPr="006E6461">
        <w:rPr>
          <w:rFonts w:cstheme="majorHAnsi"/>
          <w:iCs/>
        </w:rPr>
        <w:t>For information about workplace sexual harassment including support services</w:t>
      </w:r>
    </w:p>
    <w:p w14:paraId="7C2B4089" w14:textId="5269CE4D" w:rsidR="00705B86" w:rsidRPr="007F7429" w:rsidRDefault="00976A9A" w:rsidP="007F7429">
      <w:pPr>
        <w:pStyle w:val="ListParagraph"/>
        <w:numPr>
          <w:ilvl w:val="0"/>
          <w:numId w:val="20"/>
        </w:numPr>
        <w:spacing w:before="120" w:after="240"/>
        <w:ind w:right="56"/>
        <w:rPr>
          <w:rFonts w:cstheme="majorHAnsi"/>
          <w:iCs/>
        </w:rPr>
      </w:pPr>
      <w:hyperlink r:id="rId6" w:history="1">
        <w:r w:rsidR="00325362" w:rsidRPr="00325362">
          <w:rPr>
            <w:rStyle w:val="Hyperlink"/>
            <w:rFonts w:cstheme="majorHAnsi"/>
            <w:iCs/>
          </w:rPr>
          <w:t>Respect@Work website</w:t>
        </w:r>
      </w:hyperlink>
      <w:r w:rsidR="002E3B27" w:rsidRPr="00325362">
        <w:rPr>
          <w:rFonts w:cstheme="majorHAnsi"/>
          <w:iCs/>
        </w:rPr>
        <w:t xml:space="preserve"> </w:t>
      </w:r>
    </w:p>
    <w:p w14:paraId="51A522C5" w14:textId="77777777" w:rsidR="00705B86" w:rsidRPr="00705B86" w:rsidRDefault="00705B86" w:rsidP="007F7429">
      <w:pPr>
        <w:spacing w:before="120" w:after="240"/>
        <w:ind w:right="56"/>
        <w:rPr>
          <w:rFonts w:cstheme="majorHAnsi"/>
          <w:iCs/>
        </w:rPr>
      </w:pPr>
      <w:r w:rsidRPr="00705B86">
        <w:rPr>
          <w:rFonts w:cstheme="majorHAnsi"/>
          <w:iCs/>
        </w:rPr>
        <w:t>Where to seek help (sexual harassment and sexual assault support services, legal services, mental health services and advocacy support)</w:t>
      </w:r>
    </w:p>
    <w:p w14:paraId="19E4EC8F" w14:textId="20F2E657" w:rsidR="00705B86" w:rsidRPr="007F7429" w:rsidRDefault="00976A9A" w:rsidP="007F7429">
      <w:pPr>
        <w:numPr>
          <w:ilvl w:val="0"/>
          <w:numId w:val="14"/>
        </w:numPr>
        <w:spacing w:before="120" w:after="240"/>
        <w:ind w:left="782" w:right="57" w:hanging="357"/>
        <w:rPr>
          <w:rFonts w:cstheme="majorHAnsi"/>
          <w:iCs/>
        </w:rPr>
      </w:pPr>
      <w:hyperlink r:id="rId7" w:history="1">
        <w:r w:rsidR="00325362">
          <w:rPr>
            <w:rFonts w:cstheme="majorHAnsi"/>
            <w:iCs/>
            <w:color w:val="0563C1" w:themeColor="hyperlink"/>
            <w:u w:val="single"/>
          </w:rPr>
          <w:t>Respect@Work website</w:t>
        </w:r>
      </w:hyperlink>
    </w:p>
    <w:p w14:paraId="0E3B2320" w14:textId="2257B5C4" w:rsidR="002E582C" w:rsidRPr="007F7429" w:rsidRDefault="002E582C" w:rsidP="007F7429">
      <w:pPr>
        <w:spacing w:before="120" w:after="240"/>
        <w:ind w:right="56"/>
        <w:rPr>
          <w:rFonts w:cstheme="majorHAnsi"/>
          <w:iCs/>
        </w:rPr>
      </w:pPr>
      <w:r w:rsidRPr="007F7429">
        <w:rPr>
          <w:rFonts w:cstheme="majorHAnsi"/>
          <w:iCs/>
        </w:rPr>
        <w:t>For complaints and more information</w:t>
      </w:r>
      <w:r w:rsidR="00886B14" w:rsidRPr="007F7429">
        <w:rPr>
          <w:rFonts w:cstheme="majorHAnsi"/>
          <w:iCs/>
        </w:rPr>
        <w:t xml:space="preserve"> about workplace rights and entitlements </w:t>
      </w:r>
    </w:p>
    <w:p w14:paraId="0DBF3D86" w14:textId="252CBD5E" w:rsidR="002E582C" w:rsidRPr="000A3046" w:rsidRDefault="00976A9A" w:rsidP="007F7429">
      <w:pPr>
        <w:numPr>
          <w:ilvl w:val="0"/>
          <w:numId w:val="14"/>
        </w:numPr>
        <w:spacing w:before="120" w:after="240"/>
        <w:ind w:right="56"/>
        <w:contextualSpacing/>
        <w:rPr>
          <w:rFonts w:ascii="Calibri" w:hAnsi="Calibri" w:cs="Calibri"/>
          <w:lang w:val="en-GB"/>
        </w:rPr>
      </w:pPr>
      <w:hyperlink r:id="rId8" w:history="1">
        <w:r w:rsidR="00624C7D">
          <w:rPr>
            <w:rStyle w:val="Hyperlink"/>
            <w:rFonts w:ascii="Calibri" w:hAnsi="Calibri" w:cs="Calibri"/>
            <w:lang w:val="en-GB"/>
          </w:rPr>
          <w:t>Fair Work Commission website</w:t>
        </w:r>
      </w:hyperlink>
      <w:r w:rsidR="002E582C" w:rsidRPr="000A3046">
        <w:rPr>
          <w:rFonts w:ascii="Calibri" w:hAnsi="Calibri" w:cs="Calibri"/>
          <w:lang w:val="en-GB"/>
        </w:rPr>
        <w:t xml:space="preserve"> </w:t>
      </w:r>
    </w:p>
    <w:p w14:paraId="7CA7FF50" w14:textId="3D769139" w:rsidR="002E582C" w:rsidRPr="00C176A5" w:rsidRDefault="00976A9A" w:rsidP="007F7429">
      <w:pPr>
        <w:numPr>
          <w:ilvl w:val="0"/>
          <w:numId w:val="14"/>
        </w:numPr>
        <w:spacing w:before="120" w:after="240"/>
        <w:ind w:right="56"/>
        <w:contextualSpacing/>
        <w:rPr>
          <w:rStyle w:val="Hyperlink"/>
          <w:rFonts w:ascii="Calibri" w:hAnsi="Calibri" w:cs="Calibri"/>
          <w:color w:val="auto"/>
          <w:u w:val="none"/>
          <w:lang w:val="en-GB"/>
        </w:rPr>
      </w:pPr>
      <w:hyperlink r:id="rId9" w:history="1">
        <w:r w:rsidR="00624C7D">
          <w:rPr>
            <w:rStyle w:val="Hyperlink"/>
            <w:rFonts w:ascii="Calibri" w:hAnsi="Calibri" w:cs="Calibri"/>
            <w:lang w:val="en-GB"/>
          </w:rPr>
          <w:t>Australian Human Rights Commission website</w:t>
        </w:r>
      </w:hyperlink>
    </w:p>
    <w:p w14:paraId="088274BA" w14:textId="2ABB8B1B" w:rsidR="000A3046" w:rsidRPr="007F7429" w:rsidRDefault="00976A9A" w:rsidP="007F7429">
      <w:pPr>
        <w:numPr>
          <w:ilvl w:val="0"/>
          <w:numId w:val="14"/>
        </w:numPr>
        <w:spacing w:before="120" w:after="240"/>
        <w:ind w:left="782" w:right="57" w:hanging="357"/>
        <w:rPr>
          <w:rFonts w:ascii="Calibri" w:hAnsi="Calibri" w:cs="Calibri"/>
          <w:lang w:val="en-GB"/>
        </w:rPr>
      </w:pPr>
      <w:hyperlink r:id="rId10" w:history="1">
        <w:r w:rsidR="00624C7D">
          <w:rPr>
            <w:rStyle w:val="Hyperlink"/>
            <w:rFonts w:ascii="Calibri" w:hAnsi="Calibri" w:cs="Calibri"/>
            <w:lang w:val="en-GB"/>
          </w:rPr>
          <w:t>Fair Work Ombudsman website</w:t>
        </w:r>
      </w:hyperlink>
    </w:p>
    <w:p w14:paraId="75ED2967" w14:textId="70D9845D" w:rsidR="00705B86" w:rsidRPr="00705B86" w:rsidRDefault="00705B86" w:rsidP="007F7429">
      <w:pPr>
        <w:spacing w:before="120" w:after="240"/>
        <w:ind w:left="66" w:right="56"/>
        <w:rPr>
          <w:rFonts w:cstheme="majorHAnsi"/>
          <w:iCs/>
        </w:rPr>
      </w:pPr>
      <w:r w:rsidRPr="00705B86">
        <w:rPr>
          <w:rFonts w:cstheme="majorHAnsi"/>
          <w:iCs/>
        </w:rPr>
        <w:t xml:space="preserve">Guide to external pathways to address sexual harassment (support services, anti-discrimination and human rights bodies, workplace relations bodies, </w:t>
      </w:r>
      <w:r w:rsidR="00325362">
        <w:rPr>
          <w:rFonts w:cstheme="majorHAnsi"/>
          <w:iCs/>
        </w:rPr>
        <w:t xml:space="preserve">and </w:t>
      </w:r>
      <w:r w:rsidRPr="00705B86">
        <w:rPr>
          <w:rFonts w:cstheme="majorHAnsi"/>
          <w:iCs/>
        </w:rPr>
        <w:t>work</w:t>
      </w:r>
      <w:r w:rsidR="00325362">
        <w:rPr>
          <w:rFonts w:cstheme="majorHAnsi"/>
          <w:iCs/>
        </w:rPr>
        <w:t xml:space="preserve"> </w:t>
      </w:r>
      <w:r w:rsidRPr="00705B86">
        <w:rPr>
          <w:rFonts w:cstheme="majorHAnsi"/>
          <w:iCs/>
        </w:rPr>
        <w:t>health and safety regulators)</w:t>
      </w:r>
    </w:p>
    <w:p w14:paraId="56FBF10A" w14:textId="6D1DDCC1" w:rsidR="00705B86" w:rsidRPr="007F7429" w:rsidRDefault="00976A9A" w:rsidP="007F7429">
      <w:pPr>
        <w:numPr>
          <w:ilvl w:val="0"/>
          <w:numId w:val="14"/>
        </w:numPr>
        <w:spacing w:before="120" w:after="240"/>
        <w:ind w:left="782" w:right="57" w:hanging="357"/>
        <w:rPr>
          <w:rFonts w:cstheme="majorHAnsi"/>
          <w:color w:val="0563C1" w:themeColor="hyperlink"/>
          <w:u w:val="single"/>
        </w:rPr>
      </w:pPr>
      <w:hyperlink r:id="rId11" w:history="1">
        <w:r w:rsidR="00705B86" w:rsidRPr="00705B86">
          <w:rPr>
            <w:rFonts w:cstheme="majorHAnsi"/>
            <w:color w:val="0563C1" w:themeColor="hyperlink"/>
            <w:u w:val="single"/>
          </w:rPr>
          <w:t>Guide to external pathways</w:t>
        </w:r>
      </w:hyperlink>
      <w:hyperlink r:id="rId12"/>
    </w:p>
    <w:p w14:paraId="393DBA54" w14:textId="0661B2F1" w:rsidR="002E582C" w:rsidRPr="000A3046" w:rsidRDefault="000A3046" w:rsidP="007F7429">
      <w:pPr>
        <w:spacing w:before="120" w:after="240"/>
        <w:rPr>
          <w:rFonts w:ascii="Calibri" w:hAnsi="Calibri" w:cs="Calibri"/>
          <w:lang w:val="en-GB"/>
        </w:rPr>
      </w:pPr>
      <w:r w:rsidRPr="000A3046">
        <w:rPr>
          <w:rFonts w:ascii="Calibri" w:hAnsi="Calibri" w:cs="Calibri"/>
          <w:lang w:val="en-GB"/>
        </w:rPr>
        <w:t xml:space="preserve">The Law Society in your relevant jurisdiction may be able to provide additional advice on legal ethics and professional obligations. </w:t>
      </w:r>
    </w:p>
    <w:p w14:paraId="1D4A69AA" w14:textId="3381D4F9" w:rsidR="00E3757C" w:rsidRPr="00E3757C" w:rsidRDefault="00E3757C" w:rsidP="00E3757C"/>
    <w:sectPr w:rsidR="00E3757C" w:rsidRPr="00E375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Light Condense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B3B72"/>
    <w:multiLevelType w:val="hybridMultilevel"/>
    <w:tmpl w:val="71984A3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1FA93CE8"/>
    <w:multiLevelType w:val="hybridMultilevel"/>
    <w:tmpl w:val="A24004B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 w15:restartNumberingAfterBreak="0">
    <w:nsid w:val="25171456"/>
    <w:multiLevelType w:val="hybridMultilevel"/>
    <w:tmpl w:val="22BA8598"/>
    <w:lvl w:ilvl="0" w:tplc="ACD0319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040DB7"/>
    <w:multiLevelType w:val="hybridMultilevel"/>
    <w:tmpl w:val="B1801DB2"/>
    <w:lvl w:ilvl="0" w:tplc="0C090001">
      <w:start w:val="1"/>
      <w:numFmt w:val="bullet"/>
      <w:lvlText w:val=""/>
      <w:lvlJc w:val="left"/>
      <w:pPr>
        <w:ind w:left="927" w:hanging="360"/>
      </w:pPr>
      <w:rPr>
        <w:rFonts w:ascii="Symbol" w:hAnsi="Symbo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353D253E"/>
    <w:multiLevelType w:val="hybridMultilevel"/>
    <w:tmpl w:val="E868A15A"/>
    <w:lvl w:ilvl="0" w:tplc="6944D5E4">
      <w:numFmt w:val="bullet"/>
      <w:lvlText w:val="-"/>
      <w:lvlJc w:val="left"/>
      <w:pPr>
        <w:ind w:left="720" w:hanging="360"/>
      </w:pPr>
      <w:rPr>
        <w:rFonts w:ascii="Bahnschrift Light Condensed" w:eastAsia="Times New Roman" w:hAnsi="Bahnschrift Light Condensed"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35AD8"/>
    <w:multiLevelType w:val="hybridMultilevel"/>
    <w:tmpl w:val="AF82897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6" w15:restartNumberingAfterBreak="0">
    <w:nsid w:val="3A337CD5"/>
    <w:multiLevelType w:val="hybridMultilevel"/>
    <w:tmpl w:val="7562B1E6"/>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7" w15:restartNumberingAfterBreak="0">
    <w:nsid w:val="3B445372"/>
    <w:multiLevelType w:val="hybridMultilevel"/>
    <w:tmpl w:val="50A05C52"/>
    <w:lvl w:ilvl="0" w:tplc="EC38AF8A">
      <w:numFmt w:val="bullet"/>
      <w:lvlText w:val="-"/>
      <w:lvlJc w:val="left"/>
      <w:pPr>
        <w:ind w:left="720" w:hanging="360"/>
      </w:pPr>
      <w:rPr>
        <w:rFonts w:ascii="Calibri" w:eastAsiaTheme="minorHAnsi" w:hAnsi="Calibri" w:cs="Calibri" w:hint="default"/>
      </w:rPr>
    </w:lvl>
    <w:lvl w:ilvl="1" w:tplc="E1C03E10">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590713"/>
    <w:multiLevelType w:val="hybridMultilevel"/>
    <w:tmpl w:val="112AB532"/>
    <w:lvl w:ilvl="0" w:tplc="8DCE790E">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B5C6C20"/>
    <w:multiLevelType w:val="hybridMultilevel"/>
    <w:tmpl w:val="8E4EBCE4"/>
    <w:lvl w:ilvl="0" w:tplc="6944D5E4">
      <w:numFmt w:val="bullet"/>
      <w:lvlText w:val="-"/>
      <w:lvlJc w:val="left"/>
      <w:pPr>
        <w:ind w:left="720" w:hanging="360"/>
      </w:pPr>
      <w:rPr>
        <w:rFonts w:ascii="Bahnschrift Light Condensed" w:eastAsia="Times New Roman" w:hAnsi="Bahnschrift Light Condensed"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2E1B45"/>
    <w:multiLevelType w:val="hybridMultilevel"/>
    <w:tmpl w:val="B6487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F61577"/>
    <w:multiLevelType w:val="hybridMultilevel"/>
    <w:tmpl w:val="5B041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9A354C"/>
    <w:multiLevelType w:val="hybridMultilevel"/>
    <w:tmpl w:val="B7F4C54E"/>
    <w:lvl w:ilvl="0" w:tplc="8D36B628">
      <w:numFmt w:val="bullet"/>
      <w:lvlText w:val="-"/>
      <w:lvlJc w:val="left"/>
      <w:pPr>
        <w:ind w:left="720" w:hanging="360"/>
      </w:pPr>
      <w:rPr>
        <w:rFonts w:ascii="Bahnschrift Light Condensed" w:eastAsia="Verdana" w:hAnsi="Bahnschrift Light Condensed" w:cs="Lucida Sans Unicode"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FA7249"/>
    <w:multiLevelType w:val="hybridMultilevel"/>
    <w:tmpl w:val="78EEE2C0"/>
    <w:lvl w:ilvl="0" w:tplc="8020E124">
      <w:start w:val="1"/>
      <w:numFmt w:val="bullet"/>
      <w:lvlText w:val=""/>
      <w:lvlJc w:val="left"/>
      <w:pPr>
        <w:tabs>
          <w:tab w:val="num" w:pos="720"/>
        </w:tabs>
        <w:ind w:left="720" w:hanging="360"/>
      </w:pPr>
      <w:rPr>
        <w:rFonts w:ascii="Wingdings" w:hAnsi="Wingdings" w:hint="default"/>
      </w:rPr>
    </w:lvl>
    <w:lvl w:ilvl="1" w:tplc="AEA4796C" w:tentative="1">
      <w:start w:val="1"/>
      <w:numFmt w:val="bullet"/>
      <w:lvlText w:val=""/>
      <w:lvlJc w:val="left"/>
      <w:pPr>
        <w:tabs>
          <w:tab w:val="num" w:pos="1440"/>
        </w:tabs>
        <w:ind w:left="1440" w:hanging="360"/>
      </w:pPr>
      <w:rPr>
        <w:rFonts w:ascii="Wingdings" w:hAnsi="Wingdings" w:hint="default"/>
      </w:rPr>
    </w:lvl>
    <w:lvl w:ilvl="2" w:tplc="C6786C0C" w:tentative="1">
      <w:start w:val="1"/>
      <w:numFmt w:val="bullet"/>
      <w:lvlText w:val=""/>
      <w:lvlJc w:val="left"/>
      <w:pPr>
        <w:tabs>
          <w:tab w:val="num" w:pos="2160"/>
        </w:tabs>
        <w:ind w:left="2160" w:hanging="360"/>
      </w:pPr>
      <w:rPr>
        <w:rFonts w:ascii="Wingdings" w:hAnsi="Wingdings" w:hint="default"/>
      </w:rPr>
    </w:lvl>
    <w:lvl w:ilvl="3" w:tplc="8CA2C858" w:tentative="1">
      <w:start w:val="1"/>
      <w:numFmt w:val="bullet"/>
      <w:lvlText w:val=""/>
      <w:lvlJc w:val="left"/>
      <w:pPr>
        <w:tabs>
          <w:tab w:val="num" w:pos="2880"/>
        </w:tabs>
        <w:ind w:left="2880" w:hanging="360"/>
      </w:pPr>
      <w:rPr>
        <w:rFonts w:ascii="Wingdings" w:hAnsi="Wingdings" w:hint="default"/>
      </w:rPr>
    </w:lvl>
    <w:lvl w:ilvl="4" w:tplc="680C0B7A" w:tentative="1">
      <w:start w:val="1"/>
      <w:numFmt w:val="bullet"/>
      <w:lvlText w:val=""/>
      <w:lvlJc w:val="left"/>
      <w:pPr>
        <w:tabs>
          <w:tab w:val="num" w:pos="3600"/>
        </w:tabs>
        <w:ind w:left="3600" w:hanging="360"/>
      </w:pPr>
      <w:rPr>
        <w:rFonts w:ascii="Wingdings" w:hAnsi="Wingdings" w:hint="default"/>
      </w:rPr>
    </w:lvl>
    <w:lvl w:ilvl="5" w:tplc="C9265A52" w:tentative="1">
      <w:start w:val="1"/>
      <w:numFmt w:val="bullet"/>
      <w:lvlText w:val=""/>
      <w:lvlJc w:val="left"/>
      <w:pPr>
        <w:tabs>
          <w:tab w:val="num" w:pos="4320"/>
        </w:tabs>
        <w:ind w:left="4320" w:hanging="360"/>
      </w:pPr>
      <w:rPr>
        <w:rFonts w:ascii="Wingdings" w:hAnsi="Wingdings" w:hint="default"/>
      </w:rPr>
    </w:lvl>
    <w:lvl w:ilvl="6" w:tplc="7B10B67E" w:tentative="1">
      <w:start w:val="1"/>
      <w:numFmt w:val="bullet"/>
      <w:lvlText w:val=""/>
      <w:lvlJc w:val="left"/>
      <w:pPr>
        <w:tabs>
          <w:tab w:val="num" w:pos="5040"/>
        </w:tabs>
        <w:ind w:left="5040" w:hanging="360"/>
      </w:pPr>
      <w:rPr>
        <w:rFonts w:ascii="Wingdings" w:hAnsi="Wingdings" w:hint="default"/>
      </w:rPr>
    </w:lvl>
    <w:lvl w:ilvl="7" w:tplc="8DC2EF4C" w:tentative="1">
      <w:start w:val="1"/>
      <w:numFmt w:val="bullet"/>
      <w:lvlText w:val=""/>
      <w:lvlJc w:val="left"/>
      <w:pPr>
        <w:tabs>
          <w:tab w:val="num" w:pos="5760"/>
        </w:tabs>
        <w:ind w:left="5760" w:hanging="360"/>
      </w:pPr>
      <w:rPr>
        <w:rFonts w:ascii="Wingdings" w:hAnsi="Wingdings" w:hint="default"/>
      </w:rPr>
    </w:lvl>
    <w:lvl w:ilvl="8" w:tplc="F6AA64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A81BC4"/>
    <w:multiLevelType w:val="hybridMultilevel"/>
    <w:tmpl w:val="D7FA0A0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5" w15:restartNumberingAfterBreak="0">
    <w:nsid w:val="56B06465"/>
    <w:multiLevelType w:val="hybridMultilevel"/>
    <w:tmpl w:val="A7001C2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6" w15:restartNumberingAfterBreak="0">
    <w:nsid w:val="57E96014"/>
    <w:multiLevelType w:val="hybridMultilevel"/>
    <w:tmpl w:val="33E08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2B1FA3"/>
    <w:multiLevelType w:val="hybridMultilevel"/>
    <w:tmpl w:val="B96256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CA83B59"/>
    <w:multiLevelType w:val="hybridMultilevel"/>
    <w:tmpl w:val="FB987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6D24D4"/>
    <w:multiLevelType w:val="hybridMultilevel"/>
    <w:tmpl w:val="1500FF10"/>
    <w:lvl w:ilvl="0" w:tplc="A0FED4E0">
      <w:start w:val="1"/>
      <w:numFmt w:val="bullet"/>
      <w:lvlText w:val=""/>
      <w:lvlJc w:val="left"/>
      <w:pPr>
        <w:ind w:left="786" w:hanging="360"/>
      </w:pPr>
      <w:rPr>
        <w:rFonts w:ascii="Symbol" w:hAnsi="Symbol" w:hint="default"/>
        <w:color w:val="auto"/>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abstractNumId w:val="13"/>
  </w:num>
  <w:num w:numId="2">
    <w:abstractNumId w:val="11"/>
  </w:num>
  <w:num w:numId="3">
    <w:abstractNumId w:val="4"/>
  </w:num>
  <w:num w:numId="4">
    <w:abstractNumId w:val="12"/>
  </w:num>
  <w:num w:numId="5">
    <w:abstractNumId w:val="9"/>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5"/>
  </w:num>
  <w:num w:numId="9">
    <w:abstractNumId w:val="6"/>
  </w:num>
  <w:num w:numId="10">
    <w:abstractNumId w:val="8"/>
  </w:num>
  <w:num w:numId="11">
    <w:abstractNumId w:val="7"/>
  </w:num>
  <w:num w:numId="12">
    <w:abstractNumId w:val="18"/>
  </w:num>
  <w:num w:numId="13">
    <w:abstractNumId w:val="2"/>
  </w:num>
  <w:num w:numId="14">
    <w:abstractNumId w:val="19"/>
  </w:num>
  <w:num w:numId="15">
    <w:abstractNumId w:val="1"/>
  </w:num>
  <w:num w:numId="16">
    <w:abstractNumId w:val="3"/>
  </w:num>
  <w:num w:numId="17">
    <w:abstractNumId w:val="16"/>
  </w:num>
  <w:num w:numId="18">
    <w:abstractNumId w:val="10"/>
  </w:num>
  <w:num w:numId="19">
    <w:abstractNumId w:val="0"/>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5C"/>
    <w:rsid w:val="00024F6A"/>
    <w:rsid w:val="0003128C"/>
    <w:rsid w:val="00032663"/>
    <w:rsid w:val="00037044"/>
    <w:rsid w:val="00064949"/>
    <w:rsid w:val="000A3046"/>
    <w:rsid w:val="000B1C56"/>
    <w:rsid w:val="000F3F69"/>
    <w:rsid w:val="00116678"/>
    <w:rsid w:val="00134140"/>
    <w:rsid w:val="00203ACC"/>
    <w:rsid w:val="00261921"/>
    <w:rsid w:val="00263D20"/>
    <w:rsid w:val="00292446"/>
    <w:rsid w:val="00293ED7"/>
    <w:rsid w:val="002E3B27"/>
    <w:rsid w:val="002E4C79"/>
    <w:rsid w:val="002E582C"/>
    <w:rsid w:val="002F2FA6"/>
    <w:rsid w:val="003005C8"/>
    <w:rsid w:val="00325362"/>
    <w:rsid w:val="0035130C"/>
    <w:rsid w:val="0038167E"/>
    <w:rsid w:val="003A5C74"/>
    <w:rsid w:val="003C591A"/>
    <w:rsid w:val="003D2BFA"/>
    <w:rsid w:val="003D399F"/>
    <w:rsid w:val="003E3A0D"/>
    <w:rsid w:val="00406FBF"/>
    <w:rsid w:val="0042207B"/>
    <w:rsid w:val="00437165"/>
    <w:rsid w:val="004A5370"/>
    <w:rsid w:val="004D334D"/>
    <w:rsid w:val="00505668"/>
    <w:rsid w:val="005129C8"/>
    <w:rsid w:val="00564090"/>
    <w:rsid w:val="00565F5C"/>
    <w:rsid w:val="00571285"/>
    <w:rsid w:val="00577CD3"/>
    <w:rsid w:val="00593D74"/>
    <w:rsid w:val="005B6B6D"/>
    <w:rsid w:val="00624C7D"/>
    <w:rsid w:val="00645F78"/>
    <w:rsid w:val="00673FC6"/>
    <w:rsid w:val="00705B86"/>
    <w:rsid w:val="007552BC"/>
    <w:rsid w:val="00766A2D"/>
    <w:rsid w:val="007F7429"/>
    <w:rsid w:val="00803476"/>
    <w:rsid w:val="00815010"/>
    <w:rsid w:val="00854C8A"/>
    <w:rsid w:val="00886B14"/>
    <w:rsid w:val="008C2EDD"/>
    <w:rsid w:val="00903F0A"/>
    <w:rsid w:val="0090570B"/>
    <w:rsid w:val="00907E6C"/>
    <w:rsid w:val="00913CFB"/>
    <w:rsid w:val="00925F89"/>
    <w:rsid w:val="00930B85"/>
    <w:rsid w:val="00971633"/>
    <w:rsid w:val="00976A9A"/>
    <w:rsid w:val="00996E91"/>
    <w:rsid w:val="00997738"/>
    <w:rsid w:val="009B5ADE"/>
    <w:rsid w:val="009C0159"/>
    <w:rsid w:val="009E0065"/>
    <w:rsid w:val="00A36E0B"/>
    <w:rsid w:val="00A64D9B"/>
    <w:rsid w:val="00AB123F"/>
    <w:rsid w:val="00AB3737"/>
    <w:rsid w:val="00AD479C"/>
    <w:rsid w:val="00BA0BCA"/>
    <w:rsid w:val="00BC715F"/>
    <w:rsid w:val="00C176A5"/>
    <w:rsid w:val="00D24860"/>
    <w:rsid w:val="00D8712C"/>
    <w:rsid w:val="00DB0A7D"/>
    <w:rsid w:val="00DC5DB7"/>
    <w:rsid w:val="00DF515D"/>
    <w:rsid w:val="00E10A67"/>
    <w:rsid w:val="00E17BEA"/>
    <w:rsid w:val="00E3757C"/>
    <w:rsid w:val="00E61ADC"/>
    <w:rsid w:val="00EA0CD1"/>
    <w:rsid w:val="00ED17AF"/>
    <w:rsid w:val="00F34A39"/>
    <w:rsid w:val="00F36485"/>
    <w:rsid w:val="00F41E08"/>
    <w:rsid w:val="00F770AD"/>
    <w:rsid w:val="00FD2509"/>
    <w:rsid w:val="00FF6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0DA2"/>
  <w15:chartTrackingRefBased/>
  <w15:docId w15:val="{C85BB7AB-DC5B-4200-B613-9DD583EA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F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4A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F5C"/>
    <w:rPr>
      <w:rFonts w:asciiTheme="majorHAnsi" w:eastAsiaTheme="majorEastAsia" w:hAnsiTheme="majorHAnsi" w:cstheme="majorBidi"/>
      <w:color w:val="2F5496" w:themeColor="accent1" w:themeShade="BF"/>
      <w:sz w:val="32"/>
      <w:szCs w:val="32"/>
    </w:rPr>
  </w:style>
  <w:style w:type="paragraph" w:styleId="ListParagraph">
    <w:name w:val="List Paragraph"/>
    <w:aliases w:val="List Paragraph1,List Paragraph11,List Paragraph Number,Bullet point,Recommendation,L,Content descriptions,Bullet Point,dot point List Paragraph,Figure_name,Bullet- First level,Listenabsatz1,List Paragraph2,List Bullet 1,Body Bullets 1"/>
    <w:basedOn w:val="Normal"/>
    <w:link w:val="ListParagraphChar"/>
    <w:uiPriority w:val="34"/>
    <w:qFormat/>
    <w:rsid w:val="00565F5C"/>
    <w:pPr>
      <w:ind w:left="720"/>
      <w:contextualSpacing/>
    </w:pPr>
  </w:style>
  <w:style w:type="character" w:styleId="Hyperlink">
    <w:name w:val="Hyperlink"/>
    <w:basedOn w:val="DefaultParagraphFont"/>
    <w:uiPriority w:val="99"/>
    <w:unhideWhenUsed/>
    <w:rsid w:val="00565F5C"/>
    <w:rPr>
      <w:color w:val="0563C1" w:themeColor="hyperlink"/>
      <w:u w:val="single"/>
    </w:rPr>
  </w:style>
  <w:style w:type="character" w:styleId="UnresolvedMention">
    <w:name w:val="Unresolved Mention"/>
    <w:basedOn w:val="DefaultParagraphFont"/>
    <w:uiPriority w:val="99"/>
    <w:semiHidden/>
    <w:unhideWhenUsed/>
    <w:rsid w:val="00565F5C"/>
    <w:rPr>
      <w:color w:val="605E5C"/>
      <w:shd w:val="clear" w:color="auto" w:fill="E1DFDD"/>
    </w:rPr>
  </w:style>
  <w:style w:type="paragraph" w:styleId="NormalWeb">
    <w:name w:val="Normal (Web)"/>
    <w:basedOn w:val="Normal"/>
    <w:uiPriority w:val="99"/>
    <w:unhideWhenUsed/>
    <w:rsid w:val="00565F5C"/>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CommentReference">
    <w:name w:val="annotation reference"/>
    <w:basedOn w:val="DefaultParagraphFont"/>
    <w:uiPriority w:val="99"/>
    <w:semiHidden/>
    <w:unhideWhenUsed/>
    <w:rsid w:val="00803476"/>
    <w:rPr>
      <w:sz w:val="16"/>
      <w:szCs w:val="16"/>
    </w:rPr>
  </w:style>
  <w:style w:type="paragraph" w:styleId="CommentText">
    <w:name w:val="annotation text"/>
    <w:basedOn w:val="Normal"/>
    <w:link w:val="CommentTextChar"/>
    <w:uiPriority w:val="99"/>
    <w:unhideWhenUsed/>
    <w:rsid w:val="00803476"/>
    <w:pPr>
      <w:spacing w:line="240" w:lineRule="auto"/>
    </w:pPr>
    <w:rPr>
      <w:sz w:val="20"/>
      <w:szCs w:val="20"/>
    </w:rPr>
  </w:style>
  <w:style w:type="character" w:customStyle="1" w:styleId="CommentTextChar">
    <w:name w:val="Comment Text Char"/>
    <w:basedOn w:val="DefaultParagraphFont"/>
    <w:link w:val="CommentText"/>
    <w:uiPriority w:val="99"/>
    <w:rsid w:val="00803476"/>
    <w:rPr>
      <w:sz w:val="20"/>
      <w:szCs w:val="20"/>
    </w:rPr>
  </w:style>
  <w:style w:type="paragraph" w:styleId="CommentSubject">
    <w:name w:val="annotation subject"/>
    <w:basedOn w:val="CommentText"/>
    <w:next w:val="CommentText"/>
    <w:link w:val="CommentSubjectChar"/>
    <w:uiPriority w:val="99"/>
    <w:semiHidden/>
    <w:unhideWhenUsed/>
    <w:rsid w:val="00803476"/>
    <w:rPr>
      <w:b/>
      <w:bCs/>
    </w:rPr>
  </w:style>
  <w:style w:type="character" w:customStyle="1" w:styleId="CommentSubjectChar">
    <w:name w:val="Comment Subject Char"/>
    <w:basedOn w:val="CommentTextChar"/>
    <w:link w:val="CommentSubject"/>
    <w:uiPriority w:val="99"/>
    <w:semiHidden/>
    <w:rsid w:val="00803476"/>
    <w:rPr>
      <w:b/>
      <w:bCs/>
      <w:sz w:val="20"/>
      <w:szCs w:val="20"/>
    </w:rPr>
  </w:style>
  <w:style w:type="paragraph" w:styleId="BalloonText">
    <w:name w:val="Balloon Text"/>
    <w:basedOn w:val="Normal"/>
    <w:link w:val="BalloonTextChar"/>
    <w:uiPriority w:val="99"/>
    <w:semiHidden/>
    <w:unhideWhenUsed/>
    <w:rsid w:val="00803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476"/>
    <w:rPr>
      <w:rFonts w:ascii="Segoe UI" w:hAnsi="Segoe UI" w:cs="Segoe UI"/>
      <w:sz w:val="18"/>
      <w:szCs w:val="18"/>
    </w:rPr>
  </w:style>
  <w:style w:type="character" w:customStyle="1" w:styleId="ListParagraphChar">
    <w:name w:val="List Paragraph Char"/>
    <w:aliases w:val="List Paragraph1 Char,List Paragraph11 Char,List Paragraph Number Char,Bullet point Char,Recommendation Char,L Char,Content descriptions Char,Bullet Point Char,dot point List Paragraph Char,Figure_name Char,Bullet- First level Char"/>
    <w:basedOn w:val="DefaultParagraphFont"/>
    <w:link w:val="ListParagraph"/>
    <w:uiPriority w:val="34"/>
    <w:rsid w:val="008C2EDD"/>
  </w:style>
  <w:style w:type="character" w:styleId="FollowedHyperlink">
    <w:name w:val="FollowedHyperlink"/>
    <w:basedOn w:val="DefaultParagraphFont"/>
    <w:uiPriority w:val="99"/>
    <w:semiHidden/>
    <w:unhideWhenUsed/>
    <w:rsid w:val="00971633"/>
    <w:rPr>
      <w:color w:val="954F72" w:themeColor="followedHyperlink"/>
      <w:u w:val="single"/>
    </w:rPr>
  </w:style>
  <w:style w:type="character" w:customStyle="1" w:styleId="Heading2Char">
    <w:name w:val="Heading 2 Char"/>
    <w:basedOn w:val="DefaultParagraphFont"/>
    <w:link w:val="Heading2"/>
    <w:uiPriority w:val="9"/>
    <w:rsid w:val="00F34A3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wc.gov.au/issues-we-help/sexual-harass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espectatwork.gov.au/where-seek-help-if-youve-experienced-workplace-sexual-harassment" TargetMode="External"/><Relationship Id="rId12" Type="http://schemas.openxmlformats.org/officeDocument/2006/relationships/hyperlink" Target="https://clcs.org.au/our-peop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espectatwork.gov.au/" TargetMode="External"/><Relationship Id="rId11" Type="http://schemas.openxmlformats.org/officeDocument/2006/relationships/hyperlink" Target="https://www.respectatwork.gov.au/sites/default/files/2022-10/FINAL%20Guide%20to%20external%20pathways%20in%20Australia%20to%20address%20workplace%20sexual%20harassment%20.pdf" TargetMode="External"/><Relationship Id="rId5" Type="http://schemas.openxmlformats.org/officeDocument/2006/relationships/webSettings" Target="webSettings.xml"/><Relationship Id="rId10" Type="http://schemas.openxmlformats.org/officeDocument/2006/relationships/hyperlink" Target="https://www.fairwork.gov.au/employment-conditions/bullying-sexual-harassment-and-discrimination-at-work/sexual-harassment-in-the-workplace" TargetMode="External"/><Relationship Id="rId4" Type="http://schemas.openxmlformats.org/officeDocument/2006/relationships/settings" Target="settings.xml"/><Relationship Id="rId9" Type="http://schemas.openxmlformats.org/officeDocument/2006/relationships/hyperlink" Target="https://humanrights.gov.au/complaints/make-complai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A1F52-938F-47C0-8CC9-A8B77FEF8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McAuliffe, Lucy</dc:creator>
  <cp:keywords/>
  <dc:description/>
  <cp:lastModifiedBy>Hawkins, Georgia</cp:lastModifiedBy>
  <cp:revision>2</cp:revision>
  <cp:lastPrinted>2022-10-05T21:43:00Z</cp:lastPrinted>
  <dcterms:created xsi:type="dcterms:W3CDTF">2022-12-13T00:23:00Z</dcterms:created>
  <dcterms:modified xsi:type="dcterms:W3CDTF">2022-12-13T00:23:00Z</dcterms:modified>
</cp:coreProperties>
</file>