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0C22" w14:textId="77777777" w:rsidR="00AC3D52" w:rsidRDefault="00C874C1">
      <w:pPr>
        <w:rPr>
          <w:rFonts w:ascii="Open Sans" w:eastAsia="Open Sans" w:hAnsi="Open Sans" w:cs="Open Sans"/>
          <w:b/>
          <w:sz w:val="32"/>
          <w:szCs w:val="32"/>
        </w:rPr>
      </w:pPr>
      <w:r>
        <w:rPr>
          <w:rFonts w:ascii="Open Sans" w:eastAsia="Open Sans" w:hAnsi="Open Sans" w:cs="Open Sans"/>
          <w:b/>
          <w:sz w:val="32"/>
          <w:szCs w:val="32"/>
        </w:rPr>
        <w:t>Consultation Map</w:t>
      </w:r>
    </w:p>
    <w:p w14:paraId="2E6C67AB" w14:textId="77777777" w:rsidR="00AC3D52" w:rsidRDefault="00C874C1">
      <w:pPr>
        <w:rPr>
          <w:rFonts w:ascii="Open Sans" w:eastAsia="Open Sans" w:hAnsi="Open Sans" w:cs="Open Sans"/>
          <w:sz w:val="24"/>
          <w:szCs w:val="24"/>
        </w:rPr>
      </w:pPr>
      <w:r>
        <w:rPr>
          <w:rFonts w:ascii="Open Sans" w:eastAsia="Open Sans" w:hAnsi="Open Sans" w:cs="Open Sans"/>
          <w:sz w:val="24"/>
          <w:szCs w:val="24"/>
        </w:rPr>
        <w:t xml:space="preserve">This Consultation Map provides guidance for incorporating effective consultation mechanisms in each stage of the risk management process. As consultation features heavily in health and safety laws, this Map is aligned with </w:t>
      </w:r>
      <w:hyperlink r:id="rId5">
        <w:r>
          <w:rPr>
            <w:rFonts w:ascii="Open Sans" w:eastAsia="Open Sans" w:hAnsi="Open Sans" w:cs="Open Sans"/>
            <w:color w:val="1155CC"/>
            <w:sz w:val="24"/>
            <w:szCs w:val="24"/>
            <w:u w:val="single"/>
          </w:rPr>
          <w:t>Safe Work Codes of Practice and Guidelines</w:t>
        </w:r>
      </w:hyperlink>
      <w:r>
        <w:rPr>
          <w:rFonts w:ascii="Open Sans" w:eastAsia="Open Sans" w:hAnsi="Open Sans" w:cs="Open Sans"/>
          <w:sz w:val="24"/>
          <w:szCs w:val="24"/>
        </w:rPr>
        <w:t xml:space="preserve">.  For more detailed guidance on consultation, you are encouraged to </w:t>
      </w:r>
      <w:r>
        <w:rPr>
          <w:rFonts w:ascii="Open Sans" w:eastAsia="Open Sans" w:hAnsi="Open Sans" w:cs="Open Sans"/>
          <w:sz w:val="24"/>
          <w:szCs w:val="24"/>
        </w:rPr>
        <w:t xml:space="preserve">refer to Safe Work Australia reference material, or other material produced by the safety regulator of your State/Territory.  </w:t>
      </w:r>
    </w:p>
    <w:p w14:paraId="0FD1D381" w14:textId="77777777" w:rsidR="00AC3D52" w:rsidRDefault="00AC3D52">
      <w:pPr>
        <w:rPr>
          <w:rFonts w:ascii="Open Sans" w:eastAsia="Open Sans" w:hAnsi="Open Sans" w:cs="Open Sans"/>
          <w:sz w:val="24"/>
          <w:szCs w:val="24"/>
        </w:rPr>
      </w:pPr>
    </w:p>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330"/>
        <w:gridCol w:w="4564"/>
      </w:tblGrid>
      <w:tr w:rsidR="00AC3D52" w14:paraId="1F2B30A3" w14:textId="77777777">
        <w:tc>
          <w:tcPr>
            <w:tcW w:w="3060" w:type="dxa"/>
            <w:tcBorders>
              <w:top w:val="single" w:sz="8" w:space="0" w:color="CCCCCC"/>
              <w:left w:val="single" w:sz="8" w:space="0" w:color="CCCCCC"/>
              <w:bottom w:val="single" w:sz="8" w:space="0" w:color="CCCCCC"/>
              <w:right w:val="single" w:sz="8" w:space="0" w:color="CCCCCC"/>
            </w:tcBorders>
            <w:shd w:val="clear" w:color="auto" w:fill="F5F2DE"/>
            <w:tcMar>
              <w:top w:w="100" w:type="dxa"/>
              <w:left w:w="100" w:type="dxa"/>
              <w:bottom w:w="100" w:type="dxa"/>
              <w:right w:w="100" w:type="dxa"/>
            </w:tcMar>
          </w:tcPr>
          <w:p w14:paraId="7FABC12B" w14:textId="77777777" w:rsidR="00AC3D52" w:rsidRDefault="00C874C1">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Stakeholder</w:t>
            </w:r>
          </w:p>
        </w:tc>
        <w:tc>
          <w:tcPr>
            <w:tcW w:w="6330" w:type="dxa"/>
            <w:tcBorders>
              <w:top w:val="single" w:sz="8" w:space="0" w:color="CCCCCC"/>
              <w:left w:val="single" w:sz="8" w:space="0" w:color="CCCCCC"/>
              <w:bottom w:val="single" w:sz="8" w:space="0" w:color="CCCCCC"/>
              <w:right w:val="single" w:sz="8" w:space="0" w:color="CCCCCC"/>
            </w:tcBorders>
            <w:shd w:val="clear" w:color="auto" w:fill="F5F2DE"/>
            <w:tcMar>
              <w:top w:w="100" w:type="dxa"/>
              <w:left w:w="100" w:type="dxa"/>
              <w:bottom w:w="100" w:type="dxa"/>
              <w:right w:w="100" w:type="dxa"/>
            </w:tcMar>
          </w:tcPr>
          <w:p w14:paraId="7B1E8F7F" w14:textId="77777777" w:rsidR="00AC3D52" w:rsidRDefault="00C874C1">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Who</w:t>
            </w:r>
          </w:p>
        </w:tc>
        <w:tc>
          <w:tcPr>
            <w:tcW w:w="4564" w:type="dxa"/>
            <w:tcBorders>
              <w:top w:val="single" w:sz="8" w:space="0" w:color="CCCCCC"/>
              <w:left w:val="single" w:sz="8" w:space="0" w:color="CCCCCC"/>
              <w:bottom w:val="single" w:sz="8" w:space="0" w:color="CCCCCC"/>
              <w:right w:val="single" w:sz="8" w:space="0" w:color="CCCCCC"/>
            </w:tcBorders>
            <w:shd w:val="clear" w:color="auto" w:fill="F5F2DE"/>
            <w:tcMar>
              <w:top w:w="100" w:type="dxa"/>
              <w:left w:w="100" w:type="dxa"/>
              <w:bottom w:w="100" w:type="dxa"/>
              <w:right w:w="100" w:type="dxa"/>
            </w:tcMar>
          </w:tcPr>
          <w:p w14:paraId="5E73E529" w14:textId="77777777" w:rsidR="00AC3D52" w:rsidRDefault="00C874C1">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What could it involve?</w:t>
            </w:r>
          </w:p>
        </w:tc>
      </w:tr>
      <w:tr w:rsidR="00AC3D52" w14:paraId="335C23EC" w14:textId="77777777">
        <w:tc>
          <w:tcPr>
            <w:tcW w:w="30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6F58F6A" w14:textId="77777777" w:rsidR="00AC3D52" w:rsidRDefault="00C874C1">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Workers</w:t>
            </w:r>
          </w:p>
        </w:tc>
        <w:tc>
          <w:tcPr>
            <w:tcW w:w="633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58BCA2C" w14:textId="77777777" w:rsidR="00AC3D52" w:rsidRDefault="00C874C1">
            <w:pPr>
              <w:widowControl w:val="0"/>
              <w:numPr>
                <w:ilvl w:val="0"/>
                <w:numId w:val="6"/>
              </w:numPr>
              <w:spacing w:line="240" w:lineRule="auto"/>
              <w:ind w:left="425"/>
              <w:rPr>
                <w:rFonts w:ascii="Open Sans" w:eastAsia="Open Sans" w:hAnsi="Open Sans" w:cs="Open Sans"/>
                <w:sz w:val="24"/>
                <w:szCs w:val="24"/>
              </w:rPr>
            </w:pPr>
            <w:r>
              <w:rPr>
                <w:rFonts w:ascii="Open Sans" w:eastAsia="Open Sans" w:hAnsi="Open Sans" w:cs="Open Sans"/>
                <w:sz w:val="24"/>
                <w:szCs w:val="24"/>
              </w:rPr>
              <w:t>All workers</w:t>
            </w:r>
          </w:p>
          <w:p w14:paraId="7ED7CCB4" w14:textId="77777777" w:rsidR="00AC3D52" w:rsidRDefault="00C874C1">
            <w:pPr>
              <w:widowControl w:val="0"/>
              <w:numPr>
                <w:ilvl w:val="0"/>
                <w:numId w:val="6"/>
              </w:numPr>
              <w:spacing w:line="240" w:lineRule="auto"/>
              <w:ind w:left="425"/>
              <w:rPr>
                <w:rFonts w:ascii="Open Sans" w:eastAsia="Open Sans" w:hAnsi="Open Sans" w:cs="Open Sans"/>
                <w:sz w:val="24"/>
                <w:szCs w:val="24"/>
              </w:rPr>
            </w:pPr>
            <w:r>
              <w:rPr>
                <w:rFonts w:ascii="Open Sans" w:eastAsia="Open Sans" w:hAnsi="Open Sans" w:cs="Open Sans"/>
                <w:sz w:val="24"/>
                <w:szCs w:val="24"/>
              </w:rPr>
              <w:t xml:space="preserve">Health and Safety Representatives  </w:t>
            </w:r>
          </w:p>
          <w:p w14:paraId="37D5039C" w14:textId="77777777" w:rsidR="00AC3D52" w:rsidRDefault="00C874C1">
            <w:pPr>
              <w:widowControl w:val="0"/>
              <w:numPr>
                <w:ilvl w:val="0"/>
                <w:numId w:val="6"/>
              </w:numPr>
              <w:spacing w:line="240" w:lineRule="auto"/>
              <w:ind w:left="425"/>
              <w:rPr>
                <w:rFonts w:ascii="Open Sans" w:eastAsia="Open Sans" w:hAnsi="Open Sans" w:cs="Open Sans"/>
                <w:sz w:val="24"/>
                <w:szCs w:val="24"/>
              </w:rPr>
            </w:pPr>
            <w:r>
              <w:rPr>
                <w:rFonts w:ascii="Open Sans" w:eastAsia="Open Sans" w:hAnsi="Open Sans" w:cs="Open Sans"/>
                <w:sz w:val="24"/>
                <w:szCs w:val="24"/>
              </w:rPr>
              <w:t xml:space="preserve">Health and Safety Committees </w:t>
            </w:r>
          </w:p>
          <w:p w14:paraId="01F85902" w14:textId="77777777" w:rsidR="00AC3D52" w:rsidRDefault="00C874C1">
            <w:pPr>
              <w:widowControl w:val="0"/>
              <w:numPr>
                <w:ilvl w:val="0"/>
                <w:numId w:val="6"/>
              </w:numPr>
              <w:spacing w:line="240" w:lineRule="auto"/>
              <w:ind w:left="425"/>
              <w:rPr>
                <w:rFonts w:ascii="Open Sans" w:eastAsia="Open Sans" w:hAnsi="Open Sans" w:cs="Open Sans"/>
                <w:sz w:val="24"/>
                <w:szCs w:val="24"/>
              </w:rPr>
            </w:pPr>
            <w:r>
              <w:rPr>
                <w:rFonts w:ascii="Open Sans" w:eastAsia="Open Sans" w:hAnsi="Open Sans" w:cs="Open Sans"/>
                <w:sz w:val="24"/>
                <w:szCs w:val="24"/>
              </w:rPr>
              <w:t>En</w:t>
            </w:r>
            <w:r>
              <w:rPr>
                <w:rFonts w:ascii="Open Sans" w:eastAsia="Open Sans" w:hAnsi="Open Sans" w:cs="Open Sans"/>
                <w:sz w:val="24"/>
                <w:szCs w:val="24"/>
              </w:rPr>
              <w:t xml:space="preserve">sure engagement with a diverse group from different divisions, levels, demographic characteristics, shift distributions and geographical locations </w:t>
            </w:r>
          </w:p>
          <w:p w14:paraId="2F7B5355" w14:textId="77777777" w:rsidR="00AC3D52" w:rsidRDefault="00AC3D52">
            <w:pPr>
              <w:widowControl w:val="0"/>
              <w:spacing w:line="240" w:lineRule="auto"/>
              <w:rPr>
                <w:rFonts w:ascii="Open Sans" w:eastAsia="Open Sans" w:hAnsi="Open Sans" w:cs="Open Sans"/>
                <w:sz w:val="24"/>
                <w:szCs w:val="24"/>
              </w:rPr>
            </w:pPr>
          </w:p>
          <w:p w14:paraId="2938A0CD" w14:textId="77777777" w:rsidR="00AC3D52" w:rsidRDefault="00AC3D52">
            <w:pPr>
              <w:widowControl w:val="0"/>
              <w:spacing w:line="240" w:lineRule="auto"/>
              <w:rPr>
                <w:rFonts w:ascii="Open Sans" w:eastAsia="Open Sans" w:hAnsi="Open Sans" w:cs="Open Sans"/>
                <w:sz w:val="24"/>
                <w:szCs w:val="24"/>
              </w:rPr>
            </w:pPr>
          </w:p>
        </w:tc>
        <w:tc>
          <w:tcPr>
            <w:tcW w:w="4564"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C7D966F"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Focus groups or small groups from different business units  </w:t>
            </w:r>
          </w:p>
          <w:p w14:paraId="790128D7"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Workplace surveys </w:t>
            </w:r>
          </w:p>
          <w:p w14:paraId="3C88BE83"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WHS committee meetings </w:t>
            </w:r>
          </w:p>
          <w:p w14:paraId="65016B8C"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Team meetings or toolbox meetings </w:t>
            </w:r>
          </w:p>
          <w:p w14:paraId="0287D066"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Individual conversations with people  </w:t>
            </w:r>
          </w:p>
          <w:p w14:paraId="2F529A2B"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Regular ‘floor walks’ and talking to workers </w:t>
            </w:r>
          </w:p>
          <w:p w14:paraId="0EF1378C"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Sharing information on risks </w:t>
            </w:r>
          </w:p>
          <w:p w14:paraId="56ECAAC2"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Ot</w:t>
            </w:r>
            <w:r>
              <w:rPr>
                <w:rFonts w:ascii="Open Sans" w:eastAsia="Open Sans" w:hAnsi="Open Sans" w:cs="Open Sans"/>
                <w:sz w:val="24"/>
                <w:szCs w:val="24"/>
              </w:rPr>
              <w:t xml:space="preserve">her opportunities to share experiences, </w:t>
            </w:r>
            <w:proofErr w:type="gramStart"/>
            <w:r>
              <w:rPr>
                <w:rFonts w:ascii="Open Sans" w:eastAsia="Open Sans" w:hAnsi="Open Sans" w:cs="Open Sans"/>
                <w:sz w:val="24"/>
                <w:szCs w:val="24"/>
              </w:rPr>
              <w:t>opinions</w:t>
            </w:r>
            <w:proofErr w:type="gramEnd"/>
            <w:r>
              <w:rPr>
                <w:rFonts w:ascii="Open Sans" w:eastAsia="Open Sans" w:hAnsi="Open Sans" w:cs="Open Sans"/>
                <w:sz w:val="24"/>
                <w:szCs w:val="24"/>
              </w:rPr>
              <w:t xml:space="preserve"> and concerns </w:t>
            </w:r>
          </w:p>
          <w:p w14:paraId="505FB775"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Contribute to decision making </w:t>
            </w:r>
          </w:p>
          <w:p w14:paraId="030DDB53" w14:textId="77777777" w:rsidR="00AC3D52" w:rsidRDefault="00C874C1">
            <w:pPr>
              <w:widowControl w:val="0"/>
              <w:numPr>
                <w:ilvl w:val="0"/>
                <w:numId w:val="5"/>
              </w:numPr>
              <w:spacing w:line="240" w:lineRule="auto"/>
              <w:ind w:left="566"/>
              <w:rPr>
                <w:rFonts w:ascii="Open Sans" w:eastAsia="Open Sans" w:hAnsi="Open Sans" w:cs="Open Sans"/>
                <w:sz w:val="24"/>
                <w:szCs w:val="24"/>
              </w:rPr>
            </w:pPr>
            <w:r>
              <w:rPr>
                <w:rFonts w:ascii="Open Sans" w:eastAsia="Open Sans" w:hAnsi="Open Sans" w:cs="Open Sans"/>
                <w:sz w:val="24"/>
                <w:szCs w:val="24"/>
              </w:rPr>
              <w:t xml:space="preserve">Advising of outcomes </w:t>
            </w:r>
          </w:p>
          <w:p w14:paraId="45A3AE22" w14:textId="77777777" w:rsidR="00AC3D52" w:rsidRDefault="00AC3D52">
            <w:pPr>
              <w:widowControl w:val="0"/>
              <w:spacing w:line="240" w:lineRule="auto"/>
              <w:rPr>
                <w:rFonts w:ascii="Open Sans" w:eastAsia="Open Sans" w:hAnsi="Open Sans" w:cs="Open Sans"/>
                <w:sz w:val="24"/>
                <w:szCs w:val="24"/>
              </w:rPr>
            </w:pPr>
          </w:p>
        </w:tc>
      </w:tr>
      <w:tr w:rsidR="00AC3D52" w14:paraId="6C3F88B4" w14:textId="77777777">
        <w:trPr>
          <w:trHeight w:val="440"/>
        </w:trPr>
        <w:tc>
          <w:tcPr>
            <w:tcW w:w="13954" w:type="dxa"/>
            <w:gridSpan w:val="3"/>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0DAEFD8" w14:textId="77777777" w:rsidR="00AC3D52" w:rsidRDefault="00C874C1">
            <w:pPr>
              <w:widowControl w:val="0"/>
              <w:rPr>
                <w:rFonts w:ascii="Open Sans" w:eastAsia="Open Sans" w:hAnsi="Open Sans" w:cs="Open Sans"/>
                <w:sz w:val="24"/>
                <w:szCs w:val="24"/>
              </w:rPr>
            </w:pPr>
            <w:r>
              <w:rPr>
                <w:rFonts w:ascii="Open Sans" w:eastAsia="Open Sans" w:hAnsi="Open Sans" w:cs="Open Sans"/>
                <w:sz w:val="24"/>
                <w:szCs w:val="24"/>
              </w:rPr>
              <w:lastRenderedPageBreak/>
              <w:t xml:space="preserve">A note on surveys: </w:t>
            </w:r>
          </w:p>
          <w:p w14:paraId="1A302CE1" w14:textId="77777777" w:rsidR="00AC3D52" w:rsidRDefault="00C874C1">
            <w:pPr>
              <w:widowControl w:val="0"/>
              <w:numPr>
                <w:ilvl w:val="0"/>
                <w:numId w:val="2"/>
              </w:numPr>
              <w:rPr>
                <w:rFonts w:ascii="Open Sans" w:eastAsia="Open Sans" w:hAnsi="Open Sans" w:cs="Open Sans"/>
                <w:sz w:val="24"/>
                <w:szCs w:val="24"/>
              </w:rPr>
            </w:pPr>
            <w:r>
              <w:rPr>
                <w:rFonts w:ascii="Open Sans" w:eastAsia="Open Sans" w:hAnsi="Open Sans" w:cs="Open Sans"/>
                <w:sz w:val="24"/>
                <w:szCs w:val="24"/>
              </w:rPr>
              <w:t xml:space="preserve">You can create your own workplace survey or engage an external survey provider, which will often give you the option to work with a </w:t>
            </w:r>
            <w:proofErr w:type="gramStart"/>
            <w:r>
              <w:rPr>
                <w:rFonts w:ascii="Open Sans" w:eastAsia="Open Sans" w:hAnsi="Open Sans" w:cs="Open Sans"/>
                <w:sz w:val="24"/>
                <w:szCs w:val="24"/>
              </w:rPr>
              <w:t>Psychologist</w:t>
            </w:r>
            <w:proofErr w:type="gramEnd"/>
            <w:r>
              <w:rPr>
                <w:rFonts w:ascii="Open Sans" w:eastAsia="Open Sans" w:hAnsi="Open Sans" w:cs="Open Sans"/>
                <w:sz w:val="24"/>
                <w:szCs w:val="24"/>
              </w:rPr>
              <w:t xml:space="preserve"> or People Scientist to customise a survey that best suits your organisation.  </w:t>
            </w:r>
          </w:p>
          <w:p w14:paraId="45366D82" w14:textId="77777777" w:rsidR="00AC3D52" w:rsidRDefault="00C874C1">
            <w:pPr>
              <w:widowControl w:val="0"/>
              <w:numPr>
                <w:ilvl w:val="0"/>
                <w:numId w:val="2"/>
              </w:numPr>
              <w:rPr>
                <w:rFonts w:ascii="Open Sans" w:eastAsia="Open Sans" w:hAnsi="Open Sans" w:cs="Open Sans"/>
                <w:sz w:val="24"/>
                <w:szCs w:val="24"/>
              </w:rPr>
            </w:pPr>
            <w:r>
              <w:rPr>
                <w:rFonts w:ascii="Open Sans" w:eastAsia="Open Sans" w:hAnsi="Open Sans" w:cs="Open Sans"/>
                <w:sz w:val="24"/>
                <w:szCs w:val="24"/>
              </w:rPr>
              <w:t>If developing your own survey, i</w:t>
            </w:r>
            <w:r>
              <w:rPr>
                <w:rFonts w:ascii="Open Sans" w:eastAsia="Open Sans" w:hAnsi="Open Sans" w:cs="Open Sans"/>
                <w:sz w:val="24"/>
                <w:szCs w:val="24"/>
              </w:rPr>
              <w:t xml:space="preserve">t is good practice to ensure the questions are valid and reliable measures for the matters you seek to consult on. The survey questions used by the </w:t>
            </w:r>
            <w:hyperlink r:id="rId6">
              <w:r>
                <w:rPr>
                  <w:rFonts w:ascii="Open Sans" w:eastAsia="Open Sans" w:hAnsi="Open Sans" w:cs="Open Sans"/>
                  <w:i/>
                  <w:color w:val="1155CC"/>
                  <w:sz w:val="24"/>
                  <w:szCs w:val="24"/>
                  <w:u w:val="single"/>
                </w:rPr>
                <w:t>Australian Human Rights Commission in the 2018 National Survey; Everyone’s business: Fourth national survey on sexual harassment in Australian workplaces</w:t>
              </w:r>
            </w:hyperlink>
            <w:r>
              <w:rPr>
                <w:rFonts w:ascii="Open Sans" w:eastAsia="Open Sans" w:hAnsi="Open Sans" w:cs="Open Sans"/>
                <w:sz w:val="24"/>
                <w:szCs w:val="24"/>
              </w:rPr>
              <w:t xml:space="preserve">, may be a useful resource to adapt for your organisation’s survey on the nature and prevalence of sexual harassment. </w:t>
            </w:r>
          </w:p>
          <w:p w14:paraId="5413EFCA" w14:textId="77777777" w:rsidR="00AC3D52" w:rsidRDefault="00C874C1">
            <w:pPr>
              <w:widowControl w:val="0"/>
              <w:numPr>
                <w:ilvl w:val="0"/>
                <w:numId w:val="2"/>
              </w:numPr>
              <w:rPr>
                <w:rFonts w:ascii="Open Sans" w:eastAsia="Open Sans" w:hAnsi="Open Sans" w:cs="Open Sans"/>
                <w:sz w:val="24"/>
                <w:szCs w:val="24"/>
              </w:rPr>
            </w:pPr>
            <w:r>
              <w:rPr>
                <w:rFonts w:ascii="Open Sans" w:eastAsia="Open Sans" w:hAnsi="Open Sans" w:cs="Open Sans"/>
                <w:sz w:val="24"/>
                <w:szCs w:val="24"/>
              </w:rPr>
              <w:t>Care must be taken to maintain anonymity and create a safe and supportive environment where people can speak freely and are not at risk o</w:t>
            </w:r>
            <w:r>
              <w:rPr>
                <w:rFonts w:ascii="Open Sans" w:eastAsia="Open Sans" w:hAnsi="Open Sans" w:cs="Open Sans"/>
                <w:sz w:val="24"/>
                <w:szCs w:val="24"/>
              </w:rPr>
              <w:t xml:space="preserve">f further harm by doing so. For example, asking workers to share their observations rather than their personal experience in a focus group discussion is a more appropriate and effective strategy.  </w:t>
            </w:r>
          </w:p>
          <w:p w14:paraId="1BE2F0E0" w14:textId="77777777" w:rsidR="00AC3D52" w:rsidRDefault="00AC3D52">
            <w:pPr>
              <w:widowControl w:val="0"/>
              <w:spacing w:line="240" w:lineRule="auto"/>
              <w:rPr>
                <w:rFonts w:ascii="Open Sans" w:eastAsia="Open Sans" w:hAnsi="Open Sans" w:cs="Open Sans"/>
                <w:sz w:val="24"/>
                <w:szCs w:val="24"/>
              </w:rPr>
            </w:pPr>
          </w:p>
        </w:tc>
      </w:tr>
      <w:tr w:rsidR="00AC3D52" w14:paraId="7894CC57" w14:textId="77777777">
        <w:tc>
          <w:tcPr>
            <w:tcW w:w="3060" w:type="dxa"/>
            <w:tcBorders>
              <w:top w:val="single" w:sz="8" w:space="0" w:color="CCCCCC"/>
              <w:left w:val="single" w:sz="8" w:space="0" w:color="CCCCCC"/>
              <w:bottom w:val="single" w:sz="8" w:space="0" w:color="D9D9D9"/>
              <w:right w:val="single" w:sz="8" w:space="0" w:color="CCCCCC"/>
            </w:tcBorders>
            <w:shd w:val="clear" w:color="auto" w:fill="auto"/>
            <w:tcMar>
              <w:top w:w="100" w:type="dxa"/>
              <w:left w:w="100" w:type="dxa"/>
              <w:bottom w:w="100" w:type="dxa"/>
              <w:right w:w="100" w:type="dxa"/>
            </w:tcMar>
          </w:tcPr>
          <w:p w14:paraId="5C6C5E98" w14:textId="77777777" w:rsidR="00AC3D52" w:rsidRDefault="00C874C1">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Other businesses</w:t>
            </w:r>
          </w:p>
        </w:tc>
        <w:tc>
          <w:tcPr>
            <w:tcW w:w="6330" w:type="dxa"/>
            <w:tcBorders>
              <w:top w:val="single" w:sz="8" w:space="0" w:color="CCCCCC"/>
              <w:left w:val="single" w:sz="8" w:space="0" w:color="CCCCCC"/>
              <w:bottom w:val="single" w:sz="8" w:space="0" w:color="D9D9D9"/>
              <w:right w:val="single" w:sz="8" w:space="0" w:color="CCCCCC"/>
            </w:tcBorders>
            <w:shd w:val="clear" w:color="auto" w:fill="auto"/>
            <w:tcMar>
              <w:top w:w="100" w:type="dxa"/>
              <w:left w:w="100" w:type="dxa"/>
              <w:bottom w:w="100" w:type="dxa"/>
              <w:right w:w="100" w:type="dxa"/>
            </w:tcMar>
          </w:tcPr>
          <w:p w14:paraId="4475DB23" w14:textId="77777777" w:rsidR="00AC3D52" w:rsidRDefault="00C874C1">
            <w:pPr>
              <w:widowControl w:val="0"/>
              <w:rPr>
                <w:rFonts w:ascii="Open Sans" w:eastAsia="Open Sans" w:hAnsi="Open Sans" w:cs="Open Sans"/>
                <w:sz w:val="24"/>
                <w:szCs w:val="24"/>
              </w:rPr>
            </w:pPr>
            <w:r>
              <w:rPr>
                <w:rFonts w:ascii="Open Sans" w:eastAsia="Open Sans" w:hAnsi="Open Sans" w:cs="Open Sans"/>
                <w:sz w:val="24"/>
                <w:szCs w:val="24"/>
              </w:rPr>
              <w:t>Other businesses with which your worker</w:t>
            </w:r>
            <w:r>
              <w:rPr>
                <w:rFonts w:ascii="Open Sans" w:eastAsia="Open Sans" w:hAnsi="Open Sans" w:cs="Open Sans"/>
                <w:sz w:val="24"/>
                <w:szCs w:val="24"/>
              </w:rPr>
              <w:t xml:space="preserve">s interact or that operate within the same shared premises. These may include: </w:t>
            </w:r>
          </w:p>
          <w:p w14:paraId="7864B975" w14:textId="77777777" w:rsidR="00AC3D52" w:rsidRDefault="00AC3D52">
            <w:pPr>
              <w:widowControl w:val="0"/>
              <w:rPr>
                <w:rFonts w:ascii="Open Sans" w:eastAsia="Open Sans" w:hAnsi="Open Sans" w:cs="Open Sans"/>
                <w:sz w:val="24"/>
                <w:szCs w:val="24"/>
              </w:rPr>
            </w:pPr>
          </w:p>
          <w:p w14:paraId="4B2BC559" w14:textId="77777777" w:rsidR="00AC3D52" w:rsidRDefault="00C874C1">
            <w:pPr>
              <w:widowControl w:val="0"/>
              <w:numPr>
                <w:ilvl w:val="0"/>
                <w:numId w:val="7"/>
              </w:numPr>
              <w:rPr>
                <w:rFonts w:ascii="Open Sans" w:eastAsia="Open Sans" w:hAnsi="Open Sans" w:cs="Open Sans"/>
                <w:sz w:val="24"/>
                <w:szCs w:val="24"/>
              </w:rPr>
            </w:pPr>
            <w:r>
              <w:rPr>
                <w:rFonts w:ascii="Open Sans" w:eastAsia="Open Sans" w:hAnsi="Open Sans" w:cs="Open Sans"/>
                <w:sz w:val="24"/>
                <w:szCs w:val="24"/>
              </w:rPr>
              <w:t xml:space="preserve">Consultancies or labour hire firms </w:t>
            </w:r>
          </w:p>
          <w:p w14:paraId="693ECD4F" w14:textId="77777777" w:rsidR="00AC3D52" w:rsidRDefault="00C874C1">
            <w:pPr>
              <w:widowControl w:val="0"/>
              <w:numPr>
                <w:ilvl w:val="0"/>
                <w:numId w:val="7"/>
              </w:numPr>
              <w:rPr>
                <w:rFonts w:ascii="Open Sans" w:eastAsia="Open Sans" w:hAnsi="Open Sans" w:cs="Open Sans"/>
                <w:sz w:val="24"/>
                <w:szCs w:val="24"/>
              </w:rPr>
            </w:pPr>
            <w:r>
              <w:rPr>
                <w:rFonts w:ascii="Open Sans" w:eastAsia="Open Sans" w:hAnsi="Open Sans" w:cs="Open Sans"/>
                <w:sz w:val="24"/>
                <w:szCs w:val="24"/>
              </w:rPr>
              <w:t xml:space="preserve">Onsite food vendors </w:t>
            </w:r>
          </w:p>
          <w:p w14:paraId="295731B5" w14:textId="77777777" w:rsidR="00AC3D52" w:rsidRDefault="00C874C1">
            <w:pPr>
              <w:widowControl w:val="0"/>
              <w:numPr>
                <w:ilvl w:val="0"/>
                <w:numId w:val="7"/>
              </w:numPr>
              <w:rPr>
                <w:rFonts w:ascii="Open Sans" w:eastAsia="Open Sans" w:hAnsi="Open Sans" w:cs="Open Sans"/>
                <w:sz w:val="24"/>
                <w:szCs w:val="24"/>
              </w:rPr>
            </w:pPr>
            <w:r>
              <w:rPr>
                <w:rFonts w:ascii="Open Sans" w:eastAsia="Open Sans" w:hAnsi="Open Sans" w:cs="Open Sans"/>
                <w:sz w:val="24"/>
                <w:szCs w:val="24"/>
              </w:rPr>
              <w:t xml:space="preserve">Suppliers and 3rd party service providers  </w:t>
            </w:r>
          </w:p>
          <w:p w14:paraId="111AB6B6" w14:textId="77777777" w:rsidR="00AC3D52" w:rsidRDefault="00C874C1">
            <w:pPr>
              <w:widowControl w:val="0"/>
              <w:numPr>
                <w:ilvl w:val="0"/>
                <w:numId w:val="7"/>
              </w:numPr>
              <w:rPr>
                <w:rFonts w:ascii="Open Sans" w:eastAsia="Open Sans" w:hAnsi="Open Sans" w:cs="Open Sans"/>
                <w:sz w:val="24"/>
                <w:szCs w:val="24"/>
              </w:rPr>
            </w:pPr>
            <w:r>
              <w:rPr>
                <w:rFonts w:ascii="Open Sans" w:eastAsia="Open Sans" w:hAnsi="Open Sans" w:cs="Open Sans"/>
                <w:sz w:val="24"/>
                <w:szCs w:val="24"/>
              </w:rPr>
              <w:t>Other businesses that share common areas with your organisation, such as b</w:t>
            </w:r>
            <w:r>
              <w:rPr>
                <w:rFonts w:ascii="Open Sans" w:eastAsia="Open Sans" w:hAnsi="Open Sans" w:cs="Open Sans"/>
                <w:sz w:val="24"/>
                <w:szCs w:val="24"/>
              </w:rPr>
              <w:t>athrooms, kitchens, reception areas, car parks, stairwells.</w:t>
            </w:r>
          </w:p>
          <w:p w14:paraId="48E0224F" w14:textId="77777777" w:rsidR="00AC3D52" w:rsidRDefault="00AC3D52">
            <w:pPr>
              <w:widowControl w:val="0"/>
              <w:spacing w:line="240" w:lineRule="auto"/>
              <w:rPr>
                <w:rFonts w:ascii="Open Sans" w:eastAsia="Open Sans" w:hAnsi="Open Sans" w:cs="Open Sans"/>
                <w:sz w:val="24"/>
                <w:szCs w:val="24"/>
              </w:rPr>
            </w:pPr>
          </w:p>
        </w:tc>
        <w:tc>
          <w:tcPr>
            <w:tcW w:w="4564" w:type="dxa"/>
            <w:tcBorders>
              <w:top w:val="single" w:sz="8" w:space="0" w:color="CCCCCC"/>
              <w:left w:val="single" w:sz="8" w:space="0" w:color="CCCCCC"/>
              <w:bottom w:val="single" w:sz="8" w:space="0" w:color="D9D9D9"/>
              <w:right w:val="single" w:sz="8" w:space="0" w:color="CCCCCC"/>
            </w:tcBorders>
            <w:shd w:val="clear" w:color="auto" w:fill="auto"/>
            <w:tcMar>
              <w:top w:w="100" w:type="dxa"/>
              <w:left w:w="100" w:type="dxa"/>
              <w:bottom w:w="100" w:type="dxa"/>
              <w:right w:w="100" w:type="dxa"/>
            </w:tcMar>
          </w:tcPr>
          <w:p w14:paraId="59910165" w14:textId="77777777" w:rsidR="00AC3D52" w:rsidRDefault="00C874C1">
            <w:pPr>
              <w:widowControl w:val="0"/>
              <w:numPr>
                <w:ilvl w:val="0"/>
                <w:numId w:val="3"/>
              </w:numPr>
              <w:ind w:left="566"/>
              <w:rPr>
                <w:rFonts w:ascii="Open Sans" w:eastAsia="Open Sans" w:hAnsi="Open Sans" w:cs="Open Sans"/>
                <w:sz w:val="24"/>
                <w:szCs w:val="24"/>
              </w:rPr>
            </w:pPr>
            <w:r>
              <w:rPr>
                <w:rFonts w:ascii="Open Sans" w:eastAsia="Open Sans" w:hAnsi="Open Sans" w:cs="Open Sans"/>
                <w:sz w:val="24"/>
                <w:szCs w:val="24"/>
              </w:rPr>
              <w:t xml:space="preserve">Exchange information to find out who is doing what to prevent sexual harassment.  </w:t>
            </w:r>
          </w:p>
          <w:p w14:paraId="2AEF7196" w14:textId="77777777" w:rsidR="00AC3D52" w:rsidRDefault="00C874C1">
            <w:pPr>
              <w:widowControl w:val="0"/>
              <w:numPr>
                <w:ilvl w:val="0"/>
                <w:numId w:val="3"/>
              </w:numPr>
              <w:ind w:left="566"/>
              <w:rPr>
                <w:rFonts w:ascii="Open Sans" w:eastAsia="Open Sans" w:hAnsi="Open Sans" w:cs="Open Sans"/>
                <w:sz w:val="24"/>
                <w:szCs w:val="24"/>
              </w:rPr>
            </w:pPr>
            <w:r>
              <w:rPr>
                <w:rFonts w:ascii="Open Sans" w:eastAsia="Open Sans" w:hAnsi="Open Sans" w:cs="Open Sans"/>
                <w:sz w:val="24"/>
                <w:szCs w:val="24"/>
              </w:rPr>
              <w:t xml:space="preserve">Work together in a cooperative and coordinated way to effectively prevent and respond to sexual harassment. </w:t>
            </w:r>
          </w:p>
          <w:p w14:paraId="3EE53E91" w14:textId="77777777" w:rsidR="00AC3D52" w:rsidRDefault="00AC3D52">
            <w:pPr>
              <w:widowControl w:val="0"/>
              <w:spacing w:line="240" w:lineRule="auto"/>
              <w:rPr>
                <w:rFonts w:ascii="Open Sans" w:eastAsia="Open Sans" w:hAnsi="Open Sans" w:cs="Open Sans"/>
                <w:sz w:val="24"/>
                <w:szCs w:val="24"/>
              </w:rPr>
            </w:pPr>
          </w:p>
          <w:p w14:paraId="7B9E078E" w14:textId="77777777" w:rsidR="00AC3D52" w:rsidRDefault="00AC3D52">
            <w:pPr>
              <w:widowControl w:val="0"/>
              <w:spacing w:line="240" w:lineRule="auto"/>
              <w:rPr>
                <w:rFonts w:ascii="Open Sans" w:eastAsia="Open Sans" w:hAnsi="Open Sans" w:cs="Open Sans"/>
                <w:sz w:val="24"/>
                <w:szCs w:val="24"/>
              </w:rPr>
            </w:pPr>
          </w:p>
        </w:tc>
      </w:tr>
      <w:tr w:rsidR="00AC3D52" w14:paraId="60463BF3" w14:textId="77777777">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702C40" w14:textId="77777777" w:rsidR="00AC3D52" w:rsidRDefault="00C874C1">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External stakeholders</w:t>
            </w:r>
          </w:p>
        </w:tc>
        <w:tc>
          <w:tcPr>
            <w:tcW w:w="63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5E7CD4" w14:textId="77777777" w:rsidR="00AC3D52" w:rsidRDefault="00C874C1">
            <w:pPr>
              <w:widowControl w:val="0"/>
              <w:numPr>
                <w:ilvl w:val="0"/>
                <w:numId w:val="4"/>
              </w:numPr>
              <w:ind w:left="566"/>
              <w:rPr>
                <w:rFonts w:ascii="Open Sans" w:eastAsia="Open Sans" w:hAnsi="Open Sans" w:cs="Open Sans"/>
                <w:sz w:val="24"/>
                <w:szCs w:val="24"/>
              </w:rPr>
            </w:pPr>
            <w:r>
              <w:rPr>
                <w:rFonts w:ascii="Open Sans" w:eastAsia="Open Sans" w:hAnsi="Open Sans" w:cs="Open Sans"/>
                <w:sz w:val="24"/>
                <w:szCs w:val="24"/>
              </w:rPr>
              <w:t xml:space="preserve">Clients, customers </w:t>
            </w:r>
          </w:p>
          <w:p w14:paraId="7CE781F1" w14:textId="77777777" w:rsidR="00AC3D52" w:rsidRDefault="00C874C1">
            <w:pPr>
              <w:widowControl w:val="0"/>
              <w:numPr>
                <w:ilvl w:val="0"/>
                <w:numId w:val="4"/>
              </w:numPr>
              <w:ind w:left="566"/>
              <w:rPr>
                <w:rFonts w:ascii="Open Sans" w:eastAsia="Open Sans" w:hAnsi="Open Sans" w:cs="Open Sans"/>
                <w:sz w:val="24"/>
                <w:szCs w:val="24"/>
              </w:rPr>
            </w:pPr>
            <w:r>
              <w:rPr>
                <w:rFonts w:ascii="Open Sans" w:eastAsia="Open Sans" w:hAnsi="Open Sans" w:cs="Open Sans"/>
                <w:sz w:val="24"/>
                <w:szCs w:val="24"/>
              </w:rPr>
              <w:t xml:space="preserve">Investors or shareholders </w:t>
            </w:r>
          </w:p>
          <w:p w14:paraId="5870EBD7" w14:textId="77777777" w:rsidR="00AC3D52" w:rsidRDefault="00C874C1">
            <w:pPr>
              <w:widowControl w:val="0"/>
              <w:numPr>
                <w:ilvl w:val="0"/>
                <w:numId w:val="4"/>
              </w:numPr>
              <w:ind w:left="566"/>
              <w:rPr>
                <w:rFonts w:ascii="Open Sans" w:eastAsia="Open Sans" w:hAnsi="Open Sans" w:cs="Open Sans"/>
                <w:sz w:val="24"/>
                <w:szCs w:val="24"/>
              </w:rPr>
            </w:pPr>
            <w:r>
              <w:rPr>
                <w:rFonts w:ascii="Open Sans" w:eastAsia="Open Sans" w:hAnsi="Open Sans" w:cs="Open Sans"/>
                <w:sz w:val="24"/>
                <w:szCs w:val="24"/>
              </w:rPr>
              <w:t xml:space="preserve">NGOs </w:t>
            </w:r>
          </w:p>
          <w:p w14:paraId="7F148984" w14:textId="77777777" w:rsidR="00AC3D52" w:rsidRDefault="00C874C1">
            <w:pPr>
              <w:widowControl w:val="0"/>
              <w:numPr>
                <w:ilvl w:val="0"/>
                <w:numId w:val="4"/>
              </w:numPr>
              <w:ind w:left="566"/>
              <w:rPr>
                <w:rFonts w:ascii="Open Sans" w:eastAsia="Open Sans" w:hAnsi="Open Sans" w:cs="Open Sans"/>
                <w:sz w:val="24"/>
                <w:szCs w:val="24"/>
              </w:rPr>
            </w:pPr>
            <w:r>
              <w:rPr>
                <w:rFonts w:ascii="Open Sans" w:eastAsia="Open Sans" w:hAnsi="Open Sans" w:cs="Open Sans"/>
                <w:sz w:val="24"/>
                <w:szCs w:val="24"/>
              </w:rPr>
              <w:t xml:space="preserve">Community interest groups </w:t>
            </w:r>
          </w:p>
          <w:p w14:paraId="51EC9B2B" w14:textId="77777777" w:rsidR="00AC3D52" w:rsidRDefault="00C874C1">
            <w:pPr>
              <w:widowControl w:val="0"/>
              <w:numPr>
                <w:ilvl w:val="0"/>
                <w:numId w:val="4"/>
              </w:numPr>
              <w:ind w:left="566"/>
              <w:rPr>
                <w:rFonts w:ascii="Open Sans" w:eastAsia="Open Sans" w:hAnsi="Open Sans" w:cs="Open Sans"/>
                <w:sz w:val="24"/>
                <w:szCs w:val="24"/>
              </w:rPr>
            </w:pPr>
            <w:r>
              <w:rPr>
                <w:rFonts w:ascii="Open Sans" w:eastAsia="Open Sans" w:hAnsi="Open Sans" w:cs="Open Sans"/>
                <w:sz w:val="24"/>
                <w:szCs w:val="24"/>
              </w:rPr>
              <w:t xml:space="preserve">Government  </w:t>
            </w:r>
          </w:p>
          <w:p w14:paraId="7D09912A" w14:textId="77777777" w:rsidR="00AC3D52" w:rsidRDefault="00C874C1">
            <w:pPr>
              <w:widowControl w:val="0"/>
              <w:numPr>
                <w:ilvl w:val="0"/>
                <w:numId w:val="4"/>
              </w:numPr>
              <w:ind w:left="566"/>
              <w:rPr>
                <w:rFonts w:ascii="Open Sans" w:eastAsia="Open Sans" w:hAnsi="Open Sans" w:cs="Open Sans"/>
                <w:sz w:val="24"/>
                <w:szCs w:val="24"/>
              </w:rPr>
            </w:pPr>
            <w:r>
              <w:rPr>
                <w:rFonts w:ascii="Open Sans" w:eastAsia="Open Sans" w:hAnsi="Open Sans" w:cs="Open Sans"/>
                <w:sz w:val="24"/>
                <w:szCs w:val="24"/>
              </w:rPr>
              <w:t xml:space="preserve">Regulators </w:t>
            </w:r>
          </w:p>
          <w:p w14:paraId="73130293" w14:textId="77777777" w:rsidR="00AC3D52" w:rsidRDefault="00AC3D52">
            <w:pPr>
              <w:widowControl w:val="0"/>
              <w:spacing w:line="240" w:lineRule="auto"/>
              <w:rPr>
                <w:rFonts w:ascii="Open Sans" w:eastAsia="Open Sans" w:hAnsi="Open Sans" w:cs="Open Sans"/>
                <w:sz w:val="24"/>
                <w:szCs w:val="24"/>
              </w:rPr>
            </w:pPr>
          </w:p>
          <w:p w14:paraId="3B56A73B" w14:textId="77777777" w:rsidR="00AC3D52" w:rsidRDefault="00AC3D52">
            <w:pPr>
              <w:widowControl w:val="0"/>
              <w:spacing w:line="240" w:lineRule="auto"/>
              <w:rPr>
                <w:rFonts w:ascii="Open Sans" w:eastAsia="Open Sans" w:hAnsi="Open Sans" w:cs="Open Sans"/>
                <w:sz w:val="24"/>
                <w:szCs w:val="24"/>
              </w:rPr>
            </w:pPr>
          </w:p>
        </w:tc>
        <w:tc>
          <w:tcPr>
            <w:tcW w:w="456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5A5695" w14:textId="77777777" w:rsidR="00AC3D52" w:rsidRDefault="00C874C1">
            <w:pPr>
              <w:widowControl w:val="0"/>
              <w:numPr>
                <w:ilvl w:val="0"/>
                <w:numId w:val="1"/>
              </w:numPr>
              <w:ind w:left="566"/>
              <w:rPr>
                <w:rFonts w:ascii="Open Sans" w:eastAsia="Open Sans" w:hAnsi="Open Sans" w:cs="Open Sans"/>
                <w:sz w:val="24"/>
                <w:szCs w:val="24"/>
              </w:rPr>
            </w:pPr>
            <w:r>
              <w:rPr>
                <w:rFonts w:ascii="Open Sans" w:eastAsia="Open Sans" w:hAnsi="Open Sans" w:cs="Open Sans"/>
                <w:sz w:val="24"/>
                <w:szCs w:val="24"/>
              </w:rPr>
              <w:t xml:space="preserve">1:1 </w:t>
            </w:r>
            <w:proofErr w:type="gramStart"/>
            <w:r>
              <w:rPr>
                <w:rFonts w:ascii="Open Sans" w:eastAsia="Open Sans" w:hAnsi="Open Sans" w:cs="Open Sans"/>
                <w:sz w:val="24"/>
                <w:szCs w:val="24"/>
              </w:rPr>
              <w:t>interviews</w:t>
            </w:r>
            <w:proofErr w:type="gramEnd"/>
            <w:r>
              <w:rPr>
                <w:rFonts w:ascii="Open Sans" w:eastAsia="Open Sans" w:hAnsi="Open Sans" w:cs="Open Sans"/>
                <w:sz w:val="24"/>
                <w:szCs w:val="24"/>
              </w:rPr>
              <w:t xml:space="preserve">  </w:t>
            </w:r>
          </w:p>
          <w:p w14:paraId="52B844EE" w14:textId="77777777" w:rsidR="00AC3D52" w:rsidRDefault="00C874C1">
            <w:pPr>
              <w:widowControl w:val="0"/>
              <w:numPr>
                <w:ilvl w:val="0"/>
                <w:numId w:val="1"/>
              </w:numPr>
              <w:ind w:left="566"/>
              <w:rPr>
                <w:rFonts w:ascii="Open Sans" w:eastAsia="Open Sans" w:hAnsi="Open Sans" w:cs="Open Sans"/>
                <w:sz w:val="24"/>
                <w:szCs w:val="24"/>
              </w:rPr>
            </w:pPr>
            <w:r>
              <w:rPr>
                <w:rFonts w:ascii="Open Sans" w:eastAsia="Open Sans" w:hAnsi="Open Sans" w:cs="Open Sans"/>
                <w:sz w:val="24"/>
                <w:szCs w:val="24"/>
              </w:rPr>
              <w:t xml:space="preserve">Client focus groups, </w:t>
            </w:r>
          </w:p>
          <w:p w14:paraId="02393E26" w14:textId="77777777" w:rsidR="00AC3D52" w:rsidRDefault="00C874C1">
            <w:pPr>
              <w:widowControl w:val="0"/>
              <w:numPr>
                <w:ilvl w:val="0"/>
                <w:numId w:val="1"/>
              </w:numPr>
              <w:ind w:left="566"/>
              <w:rPr>
                <w:rFonts w:ascii="Open Sans" w:eastAsia="Open Sans" w:hAnsi="Open Sans" w:cs="Open Sans"/>
                <w:sz w:val="24"/>
                <w:szCs w:val="24"/>
              </w:rPr>
            </w:pPr>
            <w:r>
              <w:rPr>
                <w:rFonts w:ascii="Open Sans" w:eastAsia="Open Sans" w:hAnsi="Open Sans" w:cs="Open Sans"/>
                <w:sz w:val="24"/>
                <w:szCs w:val="24"/>
              </w:rPr>
              <w:t>Client or customer feedback channels (</w:t>
            </w:r>
            <w:proofErr w:type="gramStart"/>
            <w:r>
              <w:rPr>
                <w:rFonts w:ascii="Open Sans" w:eastAsia="Open Sans" w:hAnsi="Open Sans" w:cs="Open Sans"/>
                <w:sz w:val="24"/>
                <w:szCs w:val="24"/>
              </w:rPr>
              <w:t>e.g.</w:t>
            </w:r>
            <w:proofErr w:type="gramEnd"/>
            <w:r>
              <w:rPr>
                <w:rFonts w:ascii="Open Sans" w:eastAsia="Open Sans" w:hAnsi="Open Sans" w:cs="Open Sans"/>
                <w:sz w:val="24"/>
                <w:szCs w:val="24"/>
              </w:rPr>
              <w:t xml:space="preserve"> NPS verbatim, complaints, social media sentiment, client governance meetings) </w:t>
            </w:r>
          </w:p>
          <w:p w14:paraId="6911E98E" w14:textId="77777777" w:rsidR="00AC3D52" w:rsidRDefault="00C874C1">
            <w:pPr>
              <w:widowControl w:val="0"/>
              <w:numPr>
                <w:ilvl w:val="0"/>
                <w:numId w:val="1"/>
              </w:numPr>
              <w:ind w:left="566"/>
              <w:rPr>
                <w:rFonts w:ascii="Open Sans" w:eastAsia="Open Sans" w:hAnsi="Open Sans" w:cs="Open Sans"/>
                <w:sz w:val="24"/>
                <w:szCs w:val="24"/>
              </w:rPr>
            </w:pPr>
            <w:r>
              <w:rPr>
                <w:rFonts w:ascii="Open Sans" w:eastAsia="Open Sans" w:hAnsi="Open Sans" w:cs="Open Sans"/>
                <w:sz w:val="24"/>
                <w:szCs w:val="24"/>
              </w:rPr>
              <w:t>Proxy adviser engagement</w:t>
            </w:r>
          </w:p>
          <w:p w14:paraId="6F39DDCD" w14:textId="77777777" w:rsidR="00AC3D52" w:rsidRDefault="00C874C1">
            <w:pPr>
              <w:widowControl w:val="0"/>
              <w:numPr>
                <w:ilvl w:val="0"/>
                <w:numId w:val="1"/>
              </w:numPr>
              <w:ind w:left="566"/>
              <w:rPr>
                <w:rFonts w:ascii="Open Sans" w:eastAsia="Open Sans" w:hAnsi="Open Sans" w:cs="Open Sans"/>
                <w:sz w:val="24"/>
                <w:szCs w:val="24"/>
              </w:rPr>
            </w:pPr>
            <w:r>
              <w:rPr>
                <w:rFonts w:ascii="Open Sans" w:eastAsia="Open Sans" w:hAnsi="Open Sans" w:cs="Open Sans"/>
                <w:sz w:val="24"/>
                <w:szCs w:val="24"/>
              </w:rPr>
              <w:t xml:space="preserve">Annual General Meetings </w:t>
            </w:r>
          </w:p>
          <w:p w14:paraId="19FF03ED" w14:textId="77777777" w:rsidR="00AC3D52" w:rsidRDefault="00C874C1">
            <w:pPr>
              <w:widowControl w:val="0"/>
              <w:numPr>
                <w:ilvl w:val="0"/>
                <w:numId w:val="1"/>
              </w:numPr>
              <w:ind w:left="566"/>
              <w:rPr>
                <w:rFonts w:ascii="Open Sans" w:eastAsia="Open Sans" w:hAnsi="Open Sans" w:cs="Open Sans"/>
                <w:sz w:val="24"/>
                <w:szCs w:val="24"/>
              </w:rPr>
            </w:pPr>
            <w:r>
              <w:rPr>
                <w:rFonts w:ascii="Open Sans" w:eastAsia="Open Sans" w:hAnsi="Open Sans" w:cs="Open Sans"/>
                <w:sz w:val="24"/>
                <w:szCs w:val="24"/>
              </w:rPr>
              <w:t>ESG or Corporate sustainability benchmarks (</w:t>
            </w:r>
            <w:proofErr w:type="spellStart"/>
            <w:r>
              <w:rPr>
                <w:rFonts w:ascii="Open Sans" w:eastAsia="Open Sans" w:hAnsi="Open Sans" w:cs="Open Sans"/>
                <w:sz w:val="24"/>
                <w:szCs w:val="24"/>
              </w:rPr>
              <w:t>e</w:t>
            </w:r>
            <w:r>
              <w:rPr>
                <w:rFonts w:ascii="Open Sans" w:eastAsia="Open Sans" w:hAnsi="Open Sans" w:cs="Open Sans"/>
                <w:sz w:val="24"/>
                <w:szCs w:val="24"/>
              </w:rPr>
              <w:t>.g</w:t>
            </w:r>
            <w:proofErr w:type="spellEnd"/>
            <w:r>
              <w:rPr>
                <w:rFonts w:ascii="Open Sans" w:eastAsia="Open Sans" w:hAnsi="Open Sans" w:cs="Open Sans"/>
                <w:sz w:val="24"/>
                <w:szCs w:val="24"/>
              </w:rPr>
              <w:t xml:space="preserve">, S&amp;P Corporate Sustainability Assessment, </w:t>
            </w:r>
            <w:proofErr w:type="spellStart"/>
            <w:r>
              <w:rPr>
                <w:rFonts w:ascii="Open Sans" w:eastAsia="Open Sans" w:hAnsi="Open Sans" w:cs="Open Sans"/>
                <w:sz w:val="24"/>
                <w:szCs w:val="24"/>
              </w:rPr>
              <w:t>Sustainalytics</w:t>
            </w:r>
            <w:proofErr w:type="spellEnd"/>
            <w:r>
              <w:rPr>
                <w:rFonts w:ascii="Open Sans" w:eastAsia="Open Sans" w:hAnsi="Open Sans" w:cs="Open Sans"/>
                <w:sz w:val="24"/>
                <w:szCs w:val="24"/>
              </w:rPr>
              <w:t xml:space="preserve">, ISS ESG) </w:t>
            </w:r>
          </w:p>
          <w:p w14:paraId="674657B6" w14:textId="77777777" w:rsidR="00AC3D52" w:rsidRDefault="00C874C1">
            <w:pPr>
              <w:widowControl w:val="0"/>
              <w:numPr>
                <w:ilvl w:val="0"/>
                <w:numId w:val="1"/>
              </w:numPr>
              <w:ind w:left="566"/>
              <w:rPr>
                <w:rFonts w:ascii="Open Sans" w:eastAsia="Open Sans" w:hAnsi="Open Sans" w:cs="Open Sans"/>
                <w:sz w:val="24"/>
                <w:szCs w:val="24"/>
              </w:rPr>
            </w:pPr>
            <w:r>
              <w:rPr>
                <w:rFonts w:ascii="Open Sans" w:eastAsia="Open Sans" w:hAnsi="Open Sans" w:cs="Open Sans"/>
                <w:sz w:val="24"/>
                <w:szCs w:val="24"/>
              </w:rPr>
              <w:t xml:space="preserve">Engagement with Safe Work Australia </w:t>
            </w:r>
          </w:p>
          <w:p w14:paraId="109FDF4D" w14:textId="77777777" w:rsidR="00AC3D52" w:rsidRDefault="00AC3D52">
            <w:pPr>
              <w:widowControl w:val="0"/>
              <w:spacing w:line="240" w:lineRule="auto"/>
              <w:ind w:left="720"/>
              <w:rPr>
                <w:rFonts w:ascii="Open Sans" w:eastAsia="Open Sans" w:hAnsi="Open Sans" w:cs="Open Sans"/>
                <w:sz w:val="24"/>
                <w:szCs w:val="24"/>
              </w:rPr>
            </w:pPr>
          </w:p>
        </w:tc>
      </w:tr>
    </w:tbl>
    <w:p w14:paraId="0176D536" w14:textId="77777777" w:rsidR="00AC3D52" w:rsidRDefault="00AC3D52"/>
    <w:sectPr w:rsidR="00AC3D52">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2625"/>
    <w:multiLevelType w:val="multilevel"/>
    <w:tmpl w:val="302A2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3D1030"/>
    <w:multiLevelType w:val="multilevel"/>
    <w:tmpl w:val="77E28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E3064"/>
    <w:multiLevelType w:val="multilevel"/>
    <w:tmpl w:val="5C9C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BD7AA7"/>
    <w:multiLevelType w:val="multilevel"/>
    <w:tmpl w:val="3F563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570497"/>
    <w:multiLevelType w:val="multilevel"/>
    <w:tmpl w:val="871C9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5D01D3"/>
    <w:multiLevelType w:val="multilevel"/>
    <w:tmpl w:val="3AA89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F72A47"/>
    <w:multiLevelType w:val="multilevel"/>
    <w:tmpl w:val="1C80B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3156527">
    <w:abstractNumId w:val="3"/>
  </w:num>
  <w:num w:numId="2" w16cid:durableId="1107851252">
    <w:abstractNumId w:val="6"/>
  </w:num>
  <w:num w:numId="3" w16cid:durableId="1063525252">
    <w:abstractNumId w:val="2"/>
  </w:num>
  <w:num w:numId="4" w16cid:durableId="2060202553">
    <w:abstractNumId w:val="5"/>
  </w:num>
  <w:num w:numId="5" w16cid:durableId="1345783068">
    <w:abstractNumId w:val="4"/>
  </w:num>
  <w:num w:numId="6" w16cid:durableId="2000959658">
    <w:abstractNumId w:val="0"/>
  </w:num>
  <w:num w:numId="7" w16cid:durableId="165387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52"/>
    <w:rsid w:val="00AC3D52"/>
    <w:rsid w:val="00C87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6CC89AE"/>
  <w15:docId w15:val="{B4906F27-544B-6142-8D4F-EE30887F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manrights.gov.au/our-work/sex-discrimination/publications/everyones-business-fourth-national-survey-sexual" TargetMode="External"/><Relationship Id="rId5" Type="http://schemas.openxmlformats.org/officeDocument/2006/relationships/hyperlink" Target="https://www.safeworkaustralia.gov.au/system/files/documents/1911/work-related_psychological_health_and_safety_a_systematic_approach_to_meeting_your_duti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Downs</cp:lastModifiedBy>
  <cp:revision>2</cp:revision>
  <dcterms:created xsi:type="dcterms:W3CDTF">2022-08-16T04:17:00Z</dcterms:created>
  <dcterms:modified xsi:type="dcterms:W3CDTF">2022-08-16T04:17:00Z</dcterms:modified>
</cp:coreProperties>
</file>